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617409AD">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拉萨市海绵城市建设管理条例</w:t>
      </w:r>
    </w:p>
    <w:p w14:paraId="534D88E9">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（2024年7月24日拉萨市第十二届人民代表大会常务委员会第二十三次会议通过　2024年9月26日西藏自治区第十二届人民代表大会常务委员会第十二次会议批准）</w:t>
      </w:r>
    </w:p>
    <w:p w14:paraId="6179EBF4">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7706AEC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规划与建设</w:t>
      </w:r>
    </w:p>
    <w:p w14:paraId="34B5CB6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运行与管理</w:t>
      </w:r>
    </w:p>
    <w:p w14:paraId="57BAF17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保障与监督</w:t>
      </w:r>
    </w:p>
    <w:p w14:paraId="6B78F3F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法律责任</w:t>
      </w:r>
    </w:p>
    <w:p w14:paraId="29EF9C7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14:paraId="3B46BD6E">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2262B762">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为了推进海绵城市建设，规范海绵城市管理，保护和改善城市水生态环境，增强抵御自然灾害能力，促进人与自然和谐发展，根据有关法律法规，结合本市实际，制定本条例。</w:t>
      </w:r>
    </w:p>
    <w:p w14:paraId="7BF8C9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本市行政区域内海绵城市的规划、建设、运行、维护及其保障监督，适用本条例。</w:t>
      </w:r>
    </w:p>
    <w:p w14:paraId="0A92AD32">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海绵城市，是指通过加强城市规划建设管理，充分发挥自然山体、建筑、道路和绿地、湿地、水系等生态系统对雨水的吸纳、蓄渗和缓释作用，有效控制雨水径流，实现自然积存、自然渗透、自然净化的城市发展方式。</w:t>
      </w:r>
    </w:p>
    <w:p w14:paraId="0DED74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海绵城市建设管理应当遵循生态为本、自然循环、因地制宜、规划引领、统筹推进、政府主导、社会参与的原则。</w:t>
      </w:r>
    </w:p>
    <w:p w14:paraId="40ADCB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市、县（区）人民政府应当建立海绵城市建设综合协调机制，协调解决海绵城市建设中的重大问题；应当将海绵城市建设纳入国民经济和社会发展规划，统筹推进海绵城市建设工作。</w:t>
      </w:r>
    </w:p>
    <w:p w14:paraId="07960E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市住房和城乡建设主管部门负责本市海绵城市建设管理工作，各县（区）住房和城乡建设主管部门负责本行政区域内海绵城市建设管理具体工作。</w:t>
      </w:r>
    </w:p>
    <w:p w14:paraId="4D7CAA40">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发展改革、财政、自然资源、生态环境、农业农村、水行政、交通运输、应急管理、林业和草原、城市管理、气象等部门，按照各自职责做好海绵城市建设管理相关工作。</w:t>
      </w:r>
    </w:p>
    <w:p w14:paraId="0EB476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市、县（区）人民政府及其有关部门应当加强海绵城市建设宣传，推广海绵城市建设创新举措和经验。</w:t>
      </w:r>
    </w:p>
    <w:p w14:paraId="28CC9ED9">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广播、电视、报刊等新闻媒体应当积极开展海绵城市公益宣传，引导全社会积极参与海绵城市建设管理。</w:t>
      </w:r>
    </w:p>
    <w:p w14:paraId="2938B769">
      <w:pPr>
        <w:rPr>
          <w:rFonts w:ascii="Times New Roman" w:hAnsi="Times New Roman" w:eastAsia="宋体" w:cs="宋体"/>
          <w:szCs w:val="32"/>
        </w:rPr>
      </w:pPr>
    </w:p>
    <w:p w14:paraId="2468B70D">
      <w:pPr>
        <w:jc w:val="center"/>
        <w:rPr>
          <w:rFonts w:ascii="Times New Roman" w:hAnsi="Times New Roman" w:eastAsia="黑体" w:cs="黑体"/>
          <w:szCs w:val="32"/>
        </w:rPr>
      </w:pPr>
      <w:r>
        <w:rPr>
          <w:rFonts w:hint="eastAsia" w:ascii="Times New Roman" w:hAnsi="Times New Roman" w:eastAsia="黑体" w:cs="黑体"/>
          <w:szCs w:val="32"/>
        </w:rPr>
        <w:t>第二章　规划与建设</w:t>
      </w:r>
    </w:p>
    <w:p w14:paraId="39D3D848">
      <w:pPr>
        <w:rPr>
          <w:rFonts w:ascii="Times New Roman" w:hAnsi="Times New Roman" w:eastAsia="宋体" w:cs="宋体"/>
          <w:szCs w:val="32"/>
        </w:rPr>
      </w:pPr>
    </w:p>
    <w:p w14:paraId="3F9189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县（区）住房和城乡建设主管部门应当会同发展改革、财政、自然资源、生态环境、农业农村、水行政、交通运输、应急管理、林业和草原、城市管理、气象等部门，组织编制海绵城市专项规划，报本级人民政府批准后实施，并予以公布。</w:t>
      </w:r>
    </w:p>
    <w:p w14:paraId="649336A2">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编制海绵城市专项规划应当遵循各级国土空间总体规划，符合生态保护、文物保护和历史文化名城、名镇、名村保护的要求。</w:t>
      </w:r>
    </w:p>
    <w:p w14:paraId="60E36E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市、县（区）自然资源主管部门编制国土空间详细规划，应当与海绵城市专项规划相衔接，并根据实际情况，落实雨水年径流总量控制率等海绵城市建设管控指标。</w:t>
      </w:r>
    </w:p>
    <w:p w14:paraId="166BA605">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市、县（区）人民政府相关部门编制道路、绿地、湿地、河湖水系、排水防涝等专项规划，应当将海绵城市建设有关要求和内容纳入其中并做好衔接。</w:t>
      </w:r>
    </w:p>
    <w:p w14:paraId="50B52E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市、县（区）人民政府及其有关部门应当根据海绵城市专项规划，制定海绵城市实施方案，因地制宜推进海绵城市建设。</w:t>
      </w:r>
    </w:p>
    <w:p w14:paraId="329630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人民政府应当组织发展改革、财政、自然资源、生态环境、住房和城乡建设、农业农村、水行政、交通运输、应急管理、林业和草原、城市管理、气象等部门，编制相关工程建设标准图集和技术导则，指导海绵城市建设。</w:t>
      </w:r>
    </w:p>
    <w:p w14:paraId="769A59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新建、改建、扩建建设项目应当落实海绵城市建设管控指标。</w:t>
      </w:r>
    </w:p>
    <w:p w14:paraId="3FC326D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市人民政府应当结合实际，确定可以不进行海绵城市建设的建设项目类别，并向社会公布。</w:t>
      </w:r>
    </w:p>
    <w:p w14:paraId="27B974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海绵城市设施应当与海绵城市设施同步设计、同步施工和同步投入使用。</w:t>
      </w:r>
    </w:p>
    <w:p w14:paraId="1205DF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建设项目单位在编制建设项目可行性研究报告或者项目申请报告时应当包含海绵设施建设内容。</w:t>
      </w:r>
    </w:p>
    <w:p w14:paraId="37E86D7A">
      <w:pPr>
        <w:ind w:firstLine="632" w:firstLineChars="200"/>
        <w:rPr>
          <w:rFonts w:ascii="Times New Roman" w:hAnsi="Times New Roman" w:cs="仿宋_GB2312"/>
          <w:sz w:val="32"/>
          <w:szCs w:val="32"/>
        </w:rPr>
      </w:pPr>
      <w:r>
        <w:rPr>
          <w:rFonts w:hint="eastAsia" w:ascii="Times New Roman" w:hAnsi="Times New Roman" w:cs="仿宋_GB2312"/>
          <w:sz w:val="32"/>
          <w:szCs w:val="32"/>
        </w:rPr>
        <w:t>项目审批或者核准主管部门在批复中应当载明海绵设施建设要求。</w:t>
      </w:r>
    </w:p>
    <w:p w14:paraId="1E791C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自然资源主管部门供应城市建设用地时，应当依据国土空间详细规划将雨水年径流总量控制率等海绵城市建设的控制性指标纳入规划条件，并作为审批建设项目设计方案的依据。</w:t>
      </w:r>
    </w:p>
    <w:p w14:paraId="0A4C84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建设单位应当在建设项目设计方案中落实海绵城市建设管控要求，初步设计、施工图设计应当编制海绵城市专篇。</w:t>
      </w:r>
    </w:p>
    <w:p w14:paraId="00D9725E">
      <w:pPr>
        <w:ind w:firstLine="632" w:firstLineChars="200"/>
        <w:rPr>
          <w:rFonts w:ascii="Times New Roman" w:hAnsi="Times New Roman" w:cs="仿宋_GB2312"/>
          <w:sz w:val="32"/>
          <w:szCs w:val="32"/>
        </w:rPr>
      </w:pPr>
      <w:r>
        <w:rPr>
          <w:rFonts w:hint="eastAsia" w:ascii="Times New Roman" w:hAnsi="Times New Roman" w:cs="仿宋_GB2312"/>
          <w:sz w:val="32"/>
          <w:szCs w:val="32"/>
        </w:rPr>
        <w:t>施工图设计文件审查机构应当对施工图设计中的海绵城市专篇进行审查，未达到海绵城市建设技术标准和规范要求的，不得出具施工图审查合格证书。</w:t>
      </w:r>
    </w:p>
    <w:p w14:paraId="3B1214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建设单位不得在海绵城市建设过程中，违反相关强制性标准降低工程质量，不得擅自变更经施工图审查机构审查通过的海绵城市设施设计内容。</w:t>
      </w:r>
    </w:p>
    <w:p w14:paraId="787911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建设单位承担海绵城市设施工程质量首要责任，应当在勘察、设计、施工、监理等招标文件和合同中载明海绵城市设施建设要求。</w:t>
      </w:r>
    </w:p>
    <w:p w14:paraId="7C4BB9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勘察、设计、施工、监理单位应当执行海绵城市建设有关技术规范、标准等有关规定，保证工程质量。</w:t>
      </w:r>
    </w:p>
    <w:p w14:paraId="7C5E68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市、县（区）住房和城乡建设主管部门应当会同有关部门对建设项目中海绵城市设施的原材料、施工工艺、施工质量等进行监督检查，将海绵城市建设内容纳入建设工程质量监管范围。</w:t>
      </w:r>
    </w:p>
    <w:p w14:paraId="728718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建设项目竣工验收报告中应当载明海绵城市设施建设情况。</w:t>
      </w:r>
    </w:p>
    <w:p w14:paraId="254DD57B">
      <w:pPr>
        <w:ind w:firstLine="632" w:firstLineChars="200"/>
        <w:rPr>
          <w:rFonts w:ascii="Times New Roman" w:hAnsi="Times New Roman" w:cs="仿宋_GB2312"/>
          <w:sz w:val="32"/>
          <w:szCs w:val="32"/>
        </w:rPr>
      </w:pPr>
      <w:r>
        <w:rPr>
          <w:rFonts w:hint="eastAsia" w:ascii="Times New Roman" w:hAnsi="Times New Roman" w:cs="仿宋_GB2312"/>
          <w:sz w:val="32"/>
          <w:szCs w:val="32"/>
        </w:rPr>
        <w:t>未经验收或者验收不合格的海绵城市设施不得交付使用。</w:t>
      </w:r>
    </w:p>
    <w:p w14:paraId="49751E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建设项目竣工验收合格后，建设单位应当按照有关规定将海绵城市设施竣工资料纳入工程档案，并将海绵城市设施以及相关资料移交海绵城市设施运行维护责任人。</w:t>
      </w:r>
    </w:p>
    <w:p w14:paraId="33960238">
      <w:pPr>
        <w:rPr>
          <w:rFonts w:ascii="Times New Roman" w:hAnsi="Times New Roman" w:eastAsia="宋体" w:cs="宋体"/>
          <w:szCs w:val="32"/>
        </w:rPr>
      </w:pPr>
    </w:p>
    <w:p w14:paraId="53256A16">
      <w:pPr>
        <w:jc w:val="center"/>
        <w:rPr>
          <w:rFonts w:ascii="Times New Roman" w:hAnsi="Times New Roman" w:eastAsia="黑体" w:cs="黑体"/>
          <w:szCs w:val="32"/>
        </w:rPr>
      </w:pPr>
      <w:r>
        <w:rPr>
          <w:rFonts w:hint="eastAsia" w:ascii="Times New Roman" w:hAnsi="Times New Roman" w:eastAsia="黑体" w:cs="黑体"/>
          <w:szCs w:val="32"/>
        </w:rPr>
        <w:t>第三章　运行与管理</w:t>
      </w:r>
    </w:p>
    <w:p w14:paraId="22F05B73">
      <w:pPr>
        <w:rPr>
          <w:rFonts w:ascii="Times New Roman" w:hAnsi="Times New Roman" w:eastAsia="宋体" w:cs="宋体"/>
          <w:szCs w:val="32"/>
        </w:rPr>
      </w:pPr>
    </w:p>
    <w:p w14:paraId="0F0C19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海绵城市设施应当按照下列规定确定运行维护责任人：</w:t>
      </w:r>
    </w:p>
    <w:p w14:paraId="2DEBCF85">
      <w:pPr>
        <w:ind w:firstLine="632" w:firstLineChars="200"/>
        <w:rPr>
          <w:rFonts w:ascii="Times New Roman" w:hAnsi="Times New Roman" w:cs="仿宋_GB2312"/>
          <w:sz w:val="32"/>
          <w:szCs w:val="32"/>
        </w:rPr>
      </w:pPr>
      <w:r>
        <w:rPr>
          <w:rFonts w:hint="eastAsia" w:ascii="Times New Roman" w:hAnsi="Times New Roman" w:cs="仿宋_GB2312"/>
          <w:sz w:val="32"/>
          <w:szCs w:val="32"/>
        </w:rPr>
        <w:t>（一）政府投资建设的海绵城市设施，相关职能部门或者其受托人为运行维护责任人；</w:t>
      </w:r>
    </w:p>
    <w:p w14:paraId="17131515">
      <w:pPr>
        <w:ind w:firstLine="632" w:firstLineChars="200"/>
        <w:rPr>
          <w:rFonts w:ascii="Times New Roman" w:hAnsi="Times New Roman" w:cs="仿宋_GB2312"/>
          <w:sz w:val="32"/>
          <w:szCs w:val="32"/>
        </w:rPr>
      </w:pPr>
      <w:r>
        <w:rPr>
          <w:rFonts w:hint="eastAsia" w:ascii="Times New Roman" w:hAnsi="Times New Roman" w:cs="仿宋_GB2312"/>
          <w:sz w:val="32"/>
          <w:szCs w:val="32"/>
        </w:rPr>
        <w:t>（二）社会资本投资建设的海绵城市设施，所有权人或者其受托人为运行维护责任人；</w:t>
      </w:r>
    </w:p>
    <w:p w14:paraId="23AC3060">
      <w:pPr>
        <w:ind w:firstLine="632" w:firstLineChars="200"/>
        <w:rPr>
          <w:rFonts w:ascii="Times New Roman" w:hAnsi="Times New Roman" w:cs="仿宋_GB2312"/>
          <w:sz w:val="32"/>
          <w:szCs w:val="32"/>
        </w:rPr>
      </w:pPr>
      <w:r>
        <w:rPr>
          <w:rFonts w:hint="eastAsia" w:ascii="Times New Roman" w:hAnsi="Times New Roman" w:cs="仿宋_GB2312"/>
          <w:sz w:val="32"/>
          <w:szCs w:val="32"/>
        </w:rPr>
        <w:t>（三）通过特许经营、政府与社会资本合作等模式投资建设的海绵城市设施，合同约定负责运行维护的主体为运行维护责任人；</w:t>
      </w:r>
    </w:p>
    <w:p w14:paraId="6CC98174">
      <w:pPr>
        <w:ind w:firstLine="632" w:firstLineChars="200"/>
        <w:rPr>
          <w:rFonts w:ascii="Times New Roman" w:hAnsi="Times New Roman" w:cs="仿宋_GB2312"/>
          <w:sz w:val="32"/>
          <w:szCs w:val="32"/>
        </w:rPr>
      </w:pPr>
      <w:r>
        <w:rPr>
          <w:rFonts w:hint="eastAsia" w:ascii="Times New Roman" w:hAnsi="Times New Roman" w:cs="仿宋_GB2312"/>
          <w:sz w:val="32"/>
          <w:szCs w:val="32"/>
        </w:rPr>
        <w:t>（四）运行维护单位不明确的，由市、县（区）人民政府确定运行维护责任人。</w:t>
      </w:r>
    </w:p>
    <w:p w14:paraId="53721F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海绵城市设施运行维护责任人应当履行下列职责：</w:t>
      </w:r>
    </w:p>
    <w:p w14:paraId="501F074C">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（一）按照设计要求、竣工资料、运行状况等制定维护管理制度；</w:t>
      </w:r>
    </w:p>
    <w:p w14:paraId="2BE96C56">
      <w:pPr>
        <w:ind w:firstLine="632" w:firstLineChars="200"/>
        <w:rPr>
          <w:rFonts w:ascii="Times New Roman" w:hAnsi="Times New Roman" w:cs="仿宋_GB2312"/>
          <w:sz w:val="32"/>
          <w:szCs w:val="32"/>
        </w:rPr>
      </w:pPr>
      <w:r>
        <w:rPr>
          <w:rFonts w:hint="eastAsia" w:ascii="Times New Roman" w:hAnsi="Times New Roman" w:cs="仿宋_GB2312"/>
          <w:sz w:val="32"/>
          <w:szCs w:val="32"/>
        </w:rPr>
        <w:t>（二）配备相应的维护人员和设备；</w:t>
      </w:r>
    </w:p>
    <w:p w14:paraId="35AB7495">
      <w:pPr>
        <w:ind w:firstLine="632" w:firstLineChars="200"/>
        <w:rPr>
          <w:rFonts w:ascii="Times New Roman" w:hAnsi="Times New Roman" w:cs="仿宋_GB2312"/>
          <w:sz w:val="32"/>
          <w:szCs w:val="32"/>
        </w:rPr>
      </w:pPr>
      <w:r>
        <w:rPr>
          <w:rFonts w:hint="eastAsia" w:ascii="Times New Roman" w:hAnsi="Times New Roman" w:cs="仿宋_GB2312"/>
          <w:sz w:val="32"/>
          <w:szCs w:val="32"/>
        </w:rPr>
        <w:t>（三）开展日常巡查、维护和养护，保障设施正常运行；</w:t>
      </w:r>
    </w:p>
    <w:p w14:paraId="4EC9A1EA">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（四）法律、法规规定的其他职责。</w:t>
      </w:r>
    </w:p>
    <w:p w14:paraId="176877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海绵设施运行维护责任人应当在城市雨水行泄通道、易发内涝路段、下穿隧道等已建海绵设施的公共区域设置警示标识、监测预警装置，制定应急处理预案，对海绵设施和配套监测设施采取相应保护措施。</w:t>
      </w:r>
    </w:p>
    <w:p w14:paraId="7182F5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禁止下列影响海绵城市设施正常安全运行的行为：</w:t>
      </w:r>
    </w:p>
    <w:p w14:paraId="0E32157B">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（一）擅自移动或者损坏海绵城市设施区域的警示标识或者监测预警装置；</w:t>
      </w:r>
    </w:p>
    <w:p w14:paraId="4446E6BC">
      <w:pPr>
        <w:ind w:firstLine="632" w:firstLineChars="200"/>
        <w:rPr>
          <w:rFonts w:ascii="Times New Roman" w:hAnsi="Times New Roman" w:cs="仿宋_GB2312"/>
          <w:sz w:val="32"/>
          <w:szCs w:val="32"/>
        </w:rPr>
      </w:pPr>
      <w:r>
        <w:rPr>
          <w:rFonts w:hint="eastAsia" w:ascii="Times New Roman" w:hAnsi="Times New Roman" w:cs="仿宋_GB2312"/>
          <w:sz w:val="32"/>
          <w:szCs w:val="32"/>
        </w:rPr>
        <w:t>（二）损坏或者擅自挖掘、拆除、改动、占用海绵城市设施；</w:t>
      </w:r>
    </w:p>
    <w:p w14:paraId="72B44EAB">
      <w:pPr>
        <w:ind w:firstLine="632" w:firstLineChars="200"/>
        <w:rPr>
          <w:rFonts w:ascii="Times New Roman" w:hAnsi="Times New Roman" w:cs="仿宋_GB2312"/>
          <w:sz w:val="32"/>
          <w:szCs w:val="32"/>
        </w:rPr>
      </w:pPr>
      <w:r>
        <w:rPr>
          <w:rFonts w:hint="eastAsia" w:ascii="Times New Roman" w:hAnsi="Times New Roman" w:cs="仿宋_GB2312"/>
          <w:sz w:val="32"/>
          <w:szCs w:val="32"/>
        </w:rPr>
        <w:t>（三）向海绵城市设施倾倒垃圾、渣土、施工泥浆等易堵塞物；</w:t>
      </w:r>
    </w:p>
    <w:p w14:paraId="25191AD3">
      <w:pPr>
        <w:ind w:firstLine="632" w:firstLineChars="200"/>
        <w:rPr>
          <w:rFonts w:ascii="Times New Roman" w:hAnsi="Times New Roman" w:cs="仿宋_GB2312"/>
          <w:sz w:val="32"/>
          <w:szCs w:val="32"/>
        </w:rPr>
      </w:pPr>
      <w:r>
        <w:rPr>
          <w:rFonts w:hint="eastAsia" w:ascii="Times New Roman" w:hAnsi="Times New Roman" w:cs="仿宋_GB2312"/>
          <w:sz w:val="32"/>
          <w:szCs w:val="32"/>
        </w:rPr>
        <w:t>（四）向海绵城市设施排放或者倾倒易燃易爆、有害性液体和废渣；</w:t>
      </w:r>
    </w:p>
    <w:p w14:paraId="403295D0">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（五）其他影响海绵城市设施正常安全运行的行为。</w:t>
      </w:r>
    </w:p>
    <w:p w14:paraId="7695E3E3">
      <w:pPr>
        <w:ind w:firstLine="632" w:firstLineChars="200"/>
        <w:rPr>
          <w:rFonts w:ascii="Times New Roman" w:hAnsi="Times New Roman" w:cs="仿宋_GB2312"/>
          <w:sz w:val="32"/>
          <w:szCs w:val="32"/>
        </w:rPr>
      </w:pPr>
      <w:r>
        <w:rPr>
          <w:rFonts w:hint="eastAsia" w:ascii="Times New Roman" w:hAnsi="Times New Roman" w:cs="仿宋_GB2312"/>
          <w:sz w:val="32"/>
          <w:szCs w:val="32"/>
        </w:rPr>
        <w:t>确需挖掘、拆除、改动、占用海绵城市设施的，应当经相关主管部门批准；临时挖掘、拆除、改动、占用海绵城市设施的，临时措施结束后，应当及时对原海绵城市设施予以恢复。</w:t>
      </w:r>
    </w:p>
    <w:p w14:paraId="64243B7F">
      <w:pPr>
        <w:rPr>
          <w:rFonts w:ascii="Times New Roman" w:hAnsi="Times New Roman" w:eastAsia="宋体" w:cs="宋体"/>
          <w:szCs w:val="32"/>
        </w:rPr>
      </w:pPr>
    </w:p>
    <w:p w14:paraId="589B2E03">
      <w:pPr>
        <w:jc w:val="center"/>
        <w:rPr>
          <w:rFonts w:ascii="Times New Roman" w:hAnsi="Times New Roman" w:eastAsia="黑体" w:cs="黑体"/>
          <w:szCs w:val="32"/>
        </w:rPr>
      </w:pPr>
      <w:r>
        <w:rPr>
          <w:rFonts w:hint="eastAsia" w:ascii="Times New Roman" w:hAnsi="Times New Roman" w:eastAsia="黑体" w:cs="黑体"/>
          <w:szCs w:val="32"/>
        </w:rPr>
        <w:t>第四章　保障与监督</w:t>
      </w:r>
    </w:p>
    <w:p w14:paraId="70298C85">
      <w:pPr>
        <w:rPr>
          <w:rFonts w:ascii="Times New Roman" w:hAnsi="Times New Roman" w:eastAsia="宋体" w:cs="宋体"/>
          <w:szCs w:val="32"/>
        </w:rPr>
      </w:pPr>
    </w:p>
    <w:p w14:paraId="26E615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市、县（区）人民政府应当将政府投资项目的海绵城市设施建设费用列入项目投资，运行维护费用纳入本级年度预算。</w:t>
      </w:r>
    </w:p>
    <w:p w14:paraId="4DABFDF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鼓励创新投融资机制和运行机制，吸引社会资本参与海绵城市投资、建设和海绵设施运行维护管理。</w:t>
      </w:r>
    </w:p>
    <w:p w14:paraId="774198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市、县（区）人民政府及有关部门应当鼓励、支持海绵城市科学技术研究和成果应用，加强人才队伍建设。</w:t>
      </w:r>
    </w:p>
    <w:p w14:paraId="4CC03D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市、县（区）城市管理主管部门应当建立海绵城市信息化平台。建设单位和运行维护责任人应当及时将海绵城市建设项目的设计、建设、运行、管理等纳入海绵城市信息化平台。</w:t>
      </w:r>
    </w:p>
    <w:p w14:paraId="1AB9EA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市住房和城乡建设主管部门可以会同自然资源、财政、水行政等部门建立海绵城市建设专家库，为海绵城市建设管理咨询论证、成效评估等提供技术服务。</w:t>
      </w:r>
    </w:p>
    <w:p w14:paraId="46F85A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发展改革、财政、自然资源、生态环境、住房和城乡建设、水行政、交通运输、城市管理等部门应当依法履职，在建设用地规划、土地出让、建设项目设计、施工图设计审查、建设项目施工、竣工验收备案、运行维护等环节，加强对海绵城市建设的监督管理。</w:t>
      </w:r>
    </w:p>
    <w:p w14:paraId="1C4D3C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市、县（区）人民政府应当建立海绵城市建设考核制度，定期开展评估和考核。</w:t>
      </w:r>
    </w:p>
    <w:p w14:paraId="23A4A488">
      <w:pPr>
        <w:rPr>
          <w:rFonts w:ascii="Times New Roman" w:hAnsi="Times New Roman" w:eastAsia="宋体" w:cs="宋体"/>
          <w:szCs w:val="32"/>
        </w:rPr>
      </w:pPr>
    </w:p>
    <w:p w14:paraId="1026388C">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23A099ED">
      <w:pPr>
        <w:rPr>
          <w:rFonts w:ascii="Times New Roman" w:hAnsi="Times New Roman" w:eastAsia="宋体" w:cs="宋体"/>
          <w:szCs w:val="32"/>
        </w:rPr>
      </w:pPr>
    </w:p>
    <w:p w14:paraId="25B70F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国家工作人员在海绵城市建设管理工作中有滥用职权、玩忽职守、徇私舞弊的，依法给予处分。</w:t>
      </w:r>
    </w:p>
    <w:p w14:paraId="490274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违反本条例规定，依照有关法律、法规进行处罚。</w:t>
      </w:r>
    </w:p>
    <w:p w14:paraId="479DEEA5">
      <w:pPr>
        <w:rPr>
          <w:rFonts w:ascii="Times New Roman" w:hAnsi="Times New Roman" w:eastAsia="宋体" w:cs="宋体"/>
          <w:szCs w:val="32"/>
        </w:rPr>
      </w:pPr>
    </w:p>
    <w:p w14:paraId="341A8F33">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53C85979">
      <w:pPr>
        <w:rPr>
          <w:rFonts w:ascii="Times New Roman" w:hAnsi="Times New Roman" w:eastAsia="宋体" w:cs="宋体"/>
          <w:szCs w:val="32"/>
        </w:rPr>
      </w:pPr>
    </w:p>
    <w:p w14:paraId="1D4583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各经济功能园区管理机构负责本区域内海绵城市建设相关工作，按照本条例规定履行县（区）人民政府及其有关部门职责。</w:t>
      </w:r>
    </w:p>
    <w:p w14:paraId="1E6FC0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本条例自2024年11月1日起施行。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E167D0A"/>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3269</Words>
  <Characters>3281</Characters>
  <Lines>87</Lines>
  <Paragraphs>24</Paragraphs>
  <TotalTime>3</TotalTime>
  <ScaleCrop>false</ScaleCrop>
  <LinksUpToDate>false</LinksUpToDate>
  <CharactersWithSpaces>3339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2024-10-24T02:52:45Z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ABC5B0973C1F4D56B7867BA7DB103A67_13</vt:lpwstr>
  </property>
  <property fmtid="{D5CDD505-2E9C-101B-9397-08002B2CF9AE}" pid="3" name="KSOProductBuildVer">
    <vt:lpwstr>2052-12.1.0.18608</vt:lpwstr>
  </property>
</Properties>
</file>