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9ABD9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浙江省国土空间规划条例</w:t>
      </w:r>
    </w:p>
    <w:p w14:paraId="06D1FB8D">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(2024年9月27日浙江省第十四届人民代表大会常务委员会第十二次会议通过）</w:t>
      </w:r>
    </w:p>
    <w:p w14:paraId="59F9269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CBA77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国土空间规划制定和修改</w:t>
      </w:r>
    </w:p>
    <w:p w14:paraId="58377D95">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第一节　一般规定</w:t>
      </w:r>
    </w:p>
    <w:p w14:paraId="57520C6B">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第二节　总体规划</w:t>
      </w:r>
    </w:p>
    <w:p w14:paraId="07FCDAC4">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第三节　详细规划</w:t>
      </w:r>
    </w:p>
    <w:p w14:paraId="69E20F31">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第四节　专项规划</w:t>
      </w:r>
    </w:p>
    <w:p w14:paraId="3AAFBF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国土空间用途分区管制和优化</w:t>
      </w:r>
    </w:p>
    <w:p w14:paraId="53E768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国土空间规划实施</w:t>
      </w:r>
    </w:p>
    <w:p w14:paraId="66D75934">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第一节　一般规定</w:t>
      </w:r>
    </w:p>
    <w:p w14:paraId="205C198A">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r>
        <w:rPr>
          <w:rFonts w:ascii="Times New Roman" w:hAnsi="Times New Roman" w:eastAsia="楷体_GB2312" w:cs="楷体_GB2312"/>
          <w:sz w:val="32"/>
        </w:rPr>
        <w:t>第二节　建设用地规划管理</w:t>
      </w:r>
    </w:p>
    <w:p w14:paraId="23C16520">
      <w:pPr>
        <w:keepNext w:val="0"/>
        <w:keepLines w:val="0"/>
        <w:pageBreakBefore w:val="0"/>
        <w:widowControl w:val="0"/>
        <w:kinsoku/>
        <w:wordWrap/>
        <w:overflowPunct/>
        <w:topLinePunct w:val="0"/>
        <w:autoSpaceDE/>
        <w:autoSpaceDN/>
        <w:bidi w:val="0"/>
        <w:adjustRightInd/>
        <w:snapToGrid/>
        <w:spacing w:line="240" w:lineRule="auto"/>
        <w:ind w:left="1264" w:leftChars="400" w:right="0" w:rightChars="0" w:firstLine="0" w:firstLineChars="0"/>
        <w:jc w:val="both"/>
        <w:textAlignment w:val="auto"/>
        <w:rPr>
          <w:rFonts w:ascii="Times New Roman" w:hAnsi="Times New Roman"/>
          <w:sz w:val="32"/>
        </w:rPr>
      </w:pPr>
      <w:bookmarkStart w:id="0" w:name="_GoBack"/>
      <w:bookmarkEnd w:id="0"/>
      <w:r>
        <w:rPr>
          <w:rFonts w:ascii="Times New Roman" w:hAnsi="Times New Roman" w:eastAsia="楷体_GB2312" w:cs="楷体_GB2312"/>
          <w:sz w:val="32"/>
        </w:rPr>
        <w:t>第三节　建设工程规划管理</w:t>
      </w:r>
    </w:p>
    <w:p w14:paraId="0B7358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监督管理</w:t>
      </w:r>
    </w:p>
    <w:p w14:paraId="0DC96C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93F15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3204D3D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779E73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国土空间规划管理，实现国土空间有效保护和合理利用，促进经济社会高质量发展，推动共同富裕先行和省域现代化先行，根据《中华人民共和国土地管理法》《中华人民共和国城乡规划法》等法律、行政法规，结合本省实际，制定本条例。</w:t>
      </w:r>
    </w:p>
    <w:p w14:paraId="4BF9D5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本省行政区域内国土空间规划的制定、修改、实施以及国土空间用途分区管制和优化，适用本条例。</w:t>
      </w:r>
    </w:p>
    <w:p w14:paraId="77808E8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本条例所称国土空间规划，是对一定区域国土空间开发保护在空间和时间上作出的安排，是各类开发、保护、建设活动的基本依据。</w:t>
      </w:r>
    </w:p>
    <w:p w14:paraId="23418842">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国土空间规划包括总体规划、详细规划和专项规划。</w:t>
      </w:r>
    </w:p>
    <w:p w14:paraId="36BE8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土空间规划工作坚持中国共产党的领导，坚持以人为本、统筹兼顾、生态优先、节约集约、协同治理、数字赋能的原则，优化国土空间结构和布局，落实主体功能区战略布局，为国民经济和社会发展规划纲要落地实施提供空间保障。</w:t>
      </w:r>
    </w:p>
    <w:p w14:paraId="01737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国土空间规划工作的领导，建立国土空间规划工作决策机制和协同机制，统筹协调国土空间规划制定、修改、实施以及国土空间用途分区管制和优化中的重大事项，并将所需经费按照规定列入本级财政预算。</w:t>
      </w:r>
    </w:p>
    <w:p w14:paraId="796C359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乡镇人民政府、街道办事处按照规定职责，做好国土空间规划有关工作。</w:t>
      </w:r>
    </w:p>
    <w:p w14:paraId="48300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自然资源主管部门负责本行政区域内的国土空间规划管理工作。</w:t>
      </w:r>
    </w:p>
    <w:p w14:paraId="1C235063">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发展改革、经济和信息化、民政、财政、生态环境、住房城乡建设、交通运输、水利、农业农村、商务、文化广电旅游、林业、文物、通信管理等部门按照各自职责，做好国土空间规划管理的相关工作。</w:t>
      </w:r>
    </w:p>
    <w:p w14:paraId="3F17CC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各级人民政府及有关部门应当依托国土空间治理数字化平台，实现覆盖全域、实时监测、动态更新、高效统一的国土空间规划一张图集成管理，提升国土空间数字化治理能力。</w:t>
      </w:r>
    </w:p>
    <w:p w14:paraId="0E0C5A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各级人民政府及有关部门应当建立健全国土空间规划公众参与制度，在编制、修改、实施国土空间规划时依法向社会公开，并充分听取公众意见，接受社会监督。</w:t>
      </w:r>
    </w:p>
    <w:p w14:paraId="10495A55">
      <w:pPr>
        <w:rPr>
          <w:rFonts w:ascii="Times New Roman" w:hAnsi="Times New Roman" w:eastAsia="宋体" w:cs="宋体"/>
          <w:szCs w:val="32"/>
        </w:rPr>
      </w:pPr>
    </w:p>
    <w:p w14:paraId="58B08787">
      <w:pPr>
        <w:jc w:val="center"/>
        <w:rPr>
          <w:rFonts w:ascii="Times New Roman" w:hAnsi="Times New Roman" w:eastAsia="黑体" w:cs="黑体"/>
          <w:szCs w:val="32"/>
        </w:rPr>
      </w:pPr>
      <w:r>
        <w:rPr>
          <w:rFonts w:hint="eastAsia" w:ascii="Times New Roman" w:hAnsi="Times New Roman" w:eastAsia="黑体" w:cs="黑体"/>
          <w:szCs w:val="32"/>
        </w:rPr>
        <w:t>第二章　国土空间规划制定和修改</w:t>
      </w:r>
    </w:p>
    <w:p w14:paraId="396F3F0A">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4180C653">
      <w:pPr>
        <w:rPr>
          <w:rFonts w:ascii="Times New Roman" w:hAnsi="Times New Roman" w:eastAsia="宋体" w:cs="宋体"/>
          <w:szCs w:val="32"/>
        </w:rPr>
      </w:pPr>
    </w:p>
    <w:p w14:paraId="66E9C3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本省建立全省统一、分级管理、科学高效的国土空间规划体系。任何单位和个人不得在国土空间规划体系之外另设其他空间规划。</w:t>
      </w:r>
    </w:p>
    <w:p w14:paraId="65E38FC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国土空间规划应当以国土空间资源及利用现状调查、资源环境承载能力评估、国民经济和社会发展规划纲要等为基础，科学有序统筹安排农业、生态、城镇等主体功能空间，落实空间分区管制要求，明确国土空间管制的强制性内容、约束性指标和指导性要求。</w:t>
      </w:r>
    </w:p>
    <w:p w14:paraId="541FEF2F">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国土空间规划的环境影响评价、地质灾害危险性评估等，依照有关法律、法规规定执行。</w:t>
      </w:r>
    </w:p>
    <w:p w14:paraId="558A67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经依法批准的国土空间总体规划是国土空间详细规划和专项规划编制、修改的依据，国土空间详细规划和专项规划应当服从总体规划。国土空间专项规划的主要内容应当纳入国土空间详细规划。</w:t>
      </w:r>
    </w:p>
    <w:p w14:paraId="264F15B2">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下级国土空间规划应当依据上级国土空间规划编制和修改，不得突破上级国土空间规划确定的强制性内容、约束性指标。</w:t>
      </w:r>
    </w:p>
    <w:p w14:paraId="35A6B831">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经依法批准的国土空间规划，任何单位和个人不得擅自修改。</w:t>
      </w:r>
    </w:p>
    <w:p w14:paraId="7E6C7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国土空间规划报送审批前，组织编制机关应当依法将国土空间规划草案予以公示，并采取论证会、听证会或者其他方式征求专家和公众的意见。公示期限不少于三十日。</w:t>
      </w:r>
    </w:p>
    <w:p w14:paraId="5DE50D00">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组织编制机关应当充分考虑专家和公众的意见，并在报送审批的材料中附具意见采纳情况及理由。</w:t>
      </w:r>
    </w:p>
    <w:p w14:paraId="6C91F8BE">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经依法批准的国土空间规划应当在三十日内依法向社会公布并纳入国土空间治理数字化平台。</w:t>
      </w:r>
    </w:p>
    <w:p w14:paraId="594B1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国土空间设计是国土空间保护、开发、利用、修复的技术方法，包括总体设计、详细设计、专项设计。</w:t>
      </w:r>
    </w:p>
    <w:p w14:paraId="2E822DDA">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国土空间设计成果的主要管控要求应当为国土空间规划编制、修改提供技术支撑。</w:t>
      </w:r>
    </w:p>
    <w:p w14:paraId="66A5C9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编制、修改和实施国土空间规划应当遵守国家统一的技术标准与实施规范。有下列情形之一的，省自然资源主管部门可以会同有关部门制定相关技术标准与实施规范：</w:t>
      </w:r>
    </w:p>
    <w:p w14:paraId="2D1EEB5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（一）国家尚未制定技术标准与实施规范；</w:t>
      </w:r>
    </w:p>
    <w:p w14:paraId="3F7446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（二）国家重大政策调整但尚未调整相应技术标准与实施规范；</w:t>
      </w:r>
    </w:p>
    <w:p w14:paraId="536A3B0B">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（三）国家技术标准与实施规范需要进一步细化；</w:t>
      </w:r>
    </w:p>
    <w:p w14:paraId="2C6E461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7DD01EF0">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设区的市、县（市）人民政府可以按照国家和省有关技术标准与实施规范，制定适用于本行政区域的相关实施性技术规定。</w:t>
      </w:r>
    </w:p>
    <w:p w14:paraId="59752172">
      <w:pPr>
        <w:rPr>
          <w:rFonts w:ascii="Times New Roman" w:hAnsi="Times New Roman" w:eastAsia="宋体" w:cs="宋体"/>
          <w:szCs w:val="32"/>
        </w:rPr>
      </w:pPr>
    </w:p>
    <w:p w14:paraId="39493786">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总体规划</w:t>
      </w:r>
    </w:p>
    <w:p w14:paraId="767E28D5">
      <w:pPr>
        <w:rPr>
          <w:rFonts w:ascii="Times New Roman" w:hAnsi="Times New Roman" w:eastAsia="宋体" w:cs="宋体"/>
          <w:szCs w:val="32"/>
        </w:rPr>
      </w:pPr>
    </w:p>
    <w:p w14:paraId="696CF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国土空间总体规划是国土空间保护、开发、利用、修复的总体部署和统筹安排，是用地用海审批的依据。</w:t>
      </w:r>
    </w:p>
    <w:p w14:paraId="599E3141">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国土空间总体规划分为省、设区的市、县（市）、乡镇四级，一般以行政区域为编制范围，规划期限一般为十五年，主要包括下列内容：</w:t>
      </w:r>
    </w:p>
    <w:p w14:paraId="4B3C41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（一）国民经济和社会发展规划纲要、国家和省重大战略实施的空间保障方案；</w:t>
      </w:r>
    </w:p>
    <w:p w14:paraId="7135EE12">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（二）农业、生态、城镇等主体功能空间总体格局，各类用途分区以及约束性指标、用途准入和退出等管制要求，村庄发展管控方向分类、村庄建设边界范围；</w:t>
      </w:r>
    </w:p>
    <w:p w14:paraId="49C965A2">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（三）自然资源、历史文化保护与利用；</w:t>
      </w:r>
    </w:p>
    <w:p w14:paraId="4DF146B0">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（四）重大基础设施、公共服务设施、市政公用设施、国防动员设施、安全防灾等支撑体系；</w:t>
      </w:r>
    </w:p>
    <w:p w14:paraId="6CB953EF">
      <w:pPr>
        <w:ind w:firstLine="632" w:firstLineChars="200"/>
        <w:rPr>
          <w:rFonts w:ascii="Times New Roman" w:hAnsi="Times New Roman" w:cs="仿宋_GB2312"/>
          <w:sz w:val="32"/>
          <w:szCs w:val="32"/>
        </w:rPr>
      </w:pPr>
      <w:r>
        <w:rPr>
          <w:rFonts w:hint="eastAsia" w:ascii="Times New Roman" w:hAnsi="Times New Roman" w:cs="仿宋_GB2312"/>
          <w:sz w:val="32"/>
          <w:szCs w:val="32"/>
        </w:rPr>
        <w:t>（五）规划传导与规划实施管理机制；</w:t>
      </w:r>
    </w:p>
    <w:p w14:paraId="7CF70441">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（六）需要载明的其他事项。</w:t>
      </w:r>
    </w:p>
    <w:p w14:paraId="6A619E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国土空间总体规划按照下列规定组织编制、审批：</w:t>
      </w:r>
    </w:p>
    <w:p w14:paraId="493A5B2A">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（一）省国土空间总体规划由省人民政府组织编制，经省人民代表大会常务委员会审议后，报国务院批准；</w:t>
      </w:r>
    </w:p>
    <w:p w14:paraId="6A9D0EC7">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国土空间总体规划由设区的市人民政府组织编制，经本级人民代表大会常务委员会审议后，报省人民政府批准；依法应当由国务院批准的，经本级人民代表大会常务委员会审议和省人民政府审核同意后，报国务院批准；</w:t>
      </w:r>
    </w:p>
    <w:p w14:paraId="04E36265">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（三）县（市）国土空间总体规划由县（市）人民政府组织编制，经本级人民代表大会常务委员会审议和设区的市人民政府审核同意后，报省人民政府批准；</w:t>
      </w:r>
    </w:p>
    <w:p w14:paraId="7C52F4DA">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镇国土空间总体规划由乡镇人民政府组织编制，经乡镇人民代表大会审议和县（市、区）人民政府审核同意后，报省人民政府授权的设区的市人民政府批准；县（市、区）人民政府可以决定以若干相邻乡镇为范围组织编制乡镇国土空间总体规划，经本级人民代表大会常务委员会审议后，报省人民政府授权的设区的市人民政府批准。</w:t>
      </w:r>
    </w:p>
    <w:p w14:paraId="2ACBD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设区的市人民政府可以以全部或者部分市辖区为范围，组织编制市区国土空间总体规划，经设区的市人民代表大会常务委员会审议后，报省人民政府批准。</w:t>
      </w:r>
    </w:p>
    <w:p w14:paraId="20C37887">
      <w:pPr>
        <w:ind w:firstLine="632" w:firstLineChars="200"/>
        <w:rPr>
          <w:rFonts w:ascii="Times New Roman" w:hAnsi="Times New Roman" w:cs="仿宋_GB2312"/>
          <w:sz w:val="32"/>
          <w:szCs w:val="32"/>
        </w:rPr>
      </w:pPr>
      <w:r>
        <w:rPr>
          <w:rFonts w:hint="eastAsia" w:ascii="Times New Roman" w:hAnsi="Times New Roman" w:cs="仿宋_GB2312"/>
          <w:sz w:val="32"/>
          <w:szCs w:val="32"/>
        </w:rPr>
        <w:t>市辖区不单独编制总体规划；确需单独编制总体规划的，应当经省人民政府同意后，按照县（市）国土空间总体规划报经批准。</w:t>
      </w:r>
    </w:p>
    <w:p w14:paraId="24C5D6A3">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街道不单独编制总体规划；确需单独编制总体规划的，应当经设区的市人民政府同意后，按照乡镇国土空间总体规划报经批准。</w:t>
      </w:r>
    </w:p>
    <w:p w14:paraId="440BF0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有下列情形之一确需修改国土空间总体规划的，应当按照国家和省规定的权限、程序进行修改：</w:t>
      </w:r>
    </w:p>
    <w:p w14:paraId="4832E30C">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（一）国家和省重大战略、重大政策调整；</w:t>
      </w:r>
    </w:p>
    <w:p w14:paraId="5DE10CB5">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（二）行政区划调整或者上级国土空间总体规划修改；</w:t>
      </w:r>
    </w:p>
    <w:p w14:paraId="17013F59">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（三）国家和省能源、交通、水利等重大工程建设项目需要；</w:t>
      </w:r>
    </w:p>
    <w:p w14:paraId="587751D0">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（四）重大国防、公共安全等建设项目需要；</w:t>
      </w:r>
    </w:p>
    <w:p w14:paraId="025215E1">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（五）法律、法规规定或者省人民政府确定的其他情形。</w:t>
      </w:r>
    </w:p>
    <w:p w14:paraId="0B32915A">
      <w:pPr>
        <w:rPr>
          <w:rFonts w:ascii="Times New Roman" w:hAnsi="Times New Roman" w:eastAsia="宋体" w:cs="宋体"/>
          <w:szCs w:val="32"/>
        </w:rPr>
      </w:pPr>
    </w:p>
    <w:p w14:paraId="10A85606">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详细规划</w:t>
      </w:r>
    </w:p>
    <w:p w14:paraId="3085BF3B">
      <w:pPr>
        <w:rPr>
          <w:rFonts w:ascii="Times New Roman" w:hAnsi="Times New Roman" w:eastAsia="宋体" w:cs="宋体"/>
          <w:szCs w:val="32"/>
        </w:rPr>
      </w:pPr>
    </w:p>
    <w:p w14:paraId="4F583B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国土空间详细规划是对单元地块用途、保护力度、开发强度和管控要求等作出的实施性安排，是依法核发建设项目规划许可、进行各项建设等活动的依据。</w:t>
      </w:r>
    </w:p>
    <w:p w14:paraId="3C3ACA2A">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国土空间详细规划应当根据国土空间总体规划确定的详细规划单元组织编制；总体规划难以确定详细规划单元的，应当明确详细规划单元的划分原则。城镇开发边界内的区域应当编制国土空间详细规划。</w:t>
      </w:r>
    </w:p>
    <w:p w14:paraId="390FBF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国土空间详细规划由设区的市、县（市）自然资源主管部门组织编制，报本级人民政府批准。</w:t>
      </w:r>
    </w:p>
    <w:p w14:paraId="2171D37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编制国土空间详细规划，应当统筹生产、生活、生态和安全功能需求，落实国土空间总体规划战略目标、底线管控、功能布局、空间结构、资源利用等方面的要求。</w:t>
      </w:r>
    </w:p>
    <w:p w14:paraId="676DB6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在城镇开发边界内的村庄，应当纳入该区域的国土空间详细规划统筹编制，不单独编制村庄规划。村庄部分区域位于城镇开发边界内的，可以将村庄整体纳入国土空间详细规划统筹编制。</w:t>
      </w:r>
    </w:p>
    <w:p w14:paraId="55DC9A14">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在城镇开发边界外的村庄，应当编制村庄规划作为国土空间详细规划。村庄规划一般应当以行政村为单元编制，因自然地形原因或者集聚发展需要，也可以以跨若干行政村的特定区域为单元进行编制。</w:t>
      </w:r>
    </w:p>
    <w:p w14:paraId="37758E10">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国土空间总体规划明确为搬迁撤并类的村庄，可以不编制村庄规划。</w:t>
      </w:r>
    </w:p>
    <w:p w14:paraId="3AAE3E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村庄规划由乡镇人民政府、街道办事处组织编制，经村民会议或者村民代表会议同意后，报县（市）人民政府批准；市辖区范围内的村庄规划，报设区的市人民政府或者其授权的区人民政府批准。</w:t>
      </w:r>
    </w:p>
    <w:p w14:paraId="24B1A0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因国土空间总体规划修改，公共服务设施、市政公用设施和其他重大项目建设，以及设区的市、县（市）人民政府确定的其他情形确需修改国土空间详细规划的，组织编制机关应当开展修改必要性评估，征求利害关系人意见，并按照国家和省规定的权限和程序组织修改、报批。</w:t>
      </w:r>
    </w:p>
    <w:p w14:paraId="6F5EFDB5">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修改国土空间详细规划涉及国土空间总体规划确定的强制性内容、约束性指标调整的，应当按照程序先修改国土空间总体规划。</w:t>
      </w:r>
    </w:p>
    <w:p w14:paraId="7A119A53">
      <w:pPr>
        <w:rPr>
          <w:rFonts w:ascii="Times New Roman" w:hAnsi="Times New Roman" w:eastAsia="宋体" w:cs="宋体"/>
          <w:szCs w:val="32"/>
        </w:rPr>
      </w:pPr>
    </w:p>
    <w:p w14:paraId="288CD505">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专项规划</w:t>
      </w:r>
    </w:p>
    <w:p w14:paraId="73A646CB">
      <w:pPr>
        <w:rPr>
          <w:rFonts w:ascii="Times New Roman" w:hAnsi="Times New Roman" w:eastAsia="宋体" w:cs="宋体"/>
          <w:szCs w:val="32"/>
        </w:rPr>
      </w:pPr>
    </w:p>
    <w:p w14:paraId="43E48F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国土空间专项规划是针对特定领域或者特定区域（流域），为体现特定功能，对落实相关领域建设项目以及特定区域（流域）保护、开发、利用、修复作出的专门安排。国土空间专项规划之间应当相互协调。</w:t>
      </w:r>
    </w:p>
    <w:p w14:paraId="5481252F">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国土空间专项规划涉及建设项目布局的，应当明确建设项目的规模、等级以及基本的建设范围、建设边界等相关要求，协调好与周边功能布局的关系。</w:t>
      </w:r>
    </w:p>
    <w:p w14:paraId="467B5E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国土空间专项规划实行清单管理。县级以上人民政府可以根据需要决定编制下列领域、区域（流域）的专项规划，并列入专项规划清单：</w:t>
      </w:r>
    </w:p>
    <w:p w14:paraId="6FB70A63">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（一）交通、能源、水利等基础设施专项规划；</w:t>
      </w:r>
    </w:p>
    <w:p w14:paraId="0E9BF05C">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（二）教育、医疗、养老、殡葬、文化、体育等公共服务设施专项规划；</w:t>
      </w:r>
    </w:p>
    <w:p w14:paraId="1797B9CA">
      <w:pPr>
        <w:ind w:firstLine="632" w:firstLineChars="200"/>
        <w:rPr>
          <w:rFonts w:ascii="Times New Roman" w:hAnsi="Times New Roman" w:cs="仿宋_GB2312"/>
          <w:sz w:val="32"/>
          <w:szCs w:val="32"/>
        </w:rPr>
      </w:pPr>
      <w:r>
        <w:rPr>
          <w:rFonts w:hint="eastAsia" w:ascii="Times New Roman" w:hAnsi="Times New Roman" w:cs="仿宋_GB2312"/>
          <w:sz w:val="32"/>
          <w:szCs w:val="32"/>
        </w:rPr>
        <w:t>（三）给排水、供电、供气、消防等市政公用设施专项规划；</w:t>
      </w:r>
    </w:p>
    <w:p w14:paraId="1ADE22A9">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（四）生态环境保护、文物保护、历史文化名城名镇名村保护、自然保护地、城市绿地等专项规划；</w:t>
      </w:r>
    </w:p>
    <w:p w14:paraId="12911AA2">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（五）城市更新、生态修复、防灾减灾、应急避险等专项规划；</w:t>
      </w:r>
    </w:p>
    <w:p w14:paraId="055E63A6">
      <w:pPr>
        <w:ind w:firstLine="632" w:firstLineChars="200"/>
        <w:rPr>
          <w:rFonts w:ascii="Times New Roman" w:hAnsi="Times New Roman" w:cs="仿宋_GB2312"/>
          <w:sz w:val="32"/>
          <w:szCs w:val="32"/>
        </w:rPr>
      </w:pPr>
      <w:r>
        <w:rPr>
          <w:rFonts w:hint="eastAsia" w:ascii="Times New Roman" w:hAnsi="Times New Roman" w:cs="仿宋_GB2312"/>
          <w:sz w:val="32"/>
          <w:szCs w:val="32"/>
        </w:rPr>
        <w:t>（六）海岸带、都市圈（区）、科创走廊、开发区（园区）等特定区域（流域）专项规划；</w:t>
      </w:r>
    </w:p>
    <w:p w14:paraId="7ACAA0FD">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（七）国土空间总体规划和县级以上人民政府明确要求编制的其他专项规划。</w:t>
      </w:r>
    </w:p>
    <w:p w14:paraId="5E1CF1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国土空间专项规划由相关主管部门按照职责组织编制，报本级人民政府批准；跨区域（流域）的国土空间专项规划，报共同的上一级人民政府批准。</w:t>
      </w:r>
    </w:p>
    <w:p w14:paraId="78465F2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县级以上人民政府可以指定自然资源主管部门会同相关主管部门编制特定领域或者特定区域（流域）的国土空间专项规划。</w:t>
      </w:r>
    </w:p>
    <w:p w14:paraId="33AF0F72">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其他相关主管部门组织编制国土空间专项规划的，应当与自然资源主管部门会商，明确相关编制要求。</w:t>
      </w:r>
    </w:p>
    <w:p w14:paraId="0BDF1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国土空间专项规划由相关主管部门组织编制的，应当经自然资源主管部门规划一致性审查。未经规划一致性审查通过，不得报请批准。</w:t>
      </w:r>
    </w:p>
    <w:p w14:paraId="4FDCBA3D">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规划一致性审查办法由省自然资源主管部门制定，报省人民政府批准。</w:t>
      </w:r>
    </w:p>
    <w:p w14:paraId="432132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因上级国土空间规划修改，国家标准、行业标准发生变化对设施配置规模和空间布局产生重大影响等情形确需修改国土空间专项规划的，应当开展修改必要性评估，并按照国家和省规定的权限和程序组织修改、报批。</w:t>
      </w:r>
    </w:p>
    <w:p w14:paraId="3BDFEB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法律、法规对文物保护、历史文化名城名镇名村保护、自然保护地等规划的制定、修改和实施另有规定的，从其规定，但应当依照本条例规定进行规划一致性审查。</w:t>
      </w:r>
    </w:p>
    <w:p w14:paraId="7A2891CF">
      <w:pPr>
        <w:rPr>
          <w:rFonts w:ascii="Times New Roman" w:hAnsi="Times New Roman" w:eastAsia="宋体" w:cs="宋体"/>
          <w:szCs w:val="32"/>
        </w:rPr>
      </w:pPr>
    </w:p>
    <w:p w14:paraId="2082E1EE">
      <w:pPr>
        <w:jc w:val="center"/>
        <w:rPr>
          <w:rFonts w:ascii="Times New Roman" w:hAnsi="Times New Roman" w:eastAsia="黑体" w:cs="黑体"/>
          <w:szCs w:val="32"/>
        </w:rPr>
      </w:pPr>
      <w:r>
        <w:rPr>
          <w:rFonts w:hint="eastAsia" w:ascii="Times New Roman" w:hAnsi="Times New Roman" w:eastAsia="黑体" w:cs="黑体"/>
          <w:szCs w:val="32"/>
        </w:rPr>
        <w:t>第三章　国土空间用途分区管制和优化</w:t>
      </w:r>
    </w:p>
    <w:p w14:paraId="085C4F20">
      <w:pPr>
        <w:rPr>
          <w:rFonts w:ascii="Times New Roman" w:hAnsi="Times New Roman" w:eastAsia="宋体" w:cs="宋体"/>
          <w:szCs w:val="32"/>
        </w:rPr>
      </w:pPr>
    </w:p>
    <w:p w14:paraId="6FFA6F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本省实行国土空间用途分区管制制度。</w:t>
      </w:r>
    </w:p>
    <w:p w14:paraId="122EA67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应当根据永久基本农田、生态保护红线、城镇开发边界的严格管控要求，加强对耕地和永久基本农田、生态保护区、生态控制区、城镇重要功能区、重大基础设施廊道、地质灾害防治区、洪涝灾害风险控制区、重要历史文化资源保护区、城乡风貌控制区、海洋功能区等空间区域的具体管控，并依据国土空间规划实施区内空间的优化和融合。</w:t>
      </w:r>
    </w:p>
    <w:p w14:paraId="636CEC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省对耕地和永久基本农田实行特殊保护。耕地保有量和永久基本农田保护任务应当依法落实到具体地块，任何单位和个人不得擅自占用或者改变用途。因建设必要的农田水利设施、田间道路等配套设施或者优化永久基本农田布局，确需少量占用永久基本农田的，应当按照规定程序报经批准，并按照规定补划。</w:t>
      </w:r>
    </w:p>
    <w:p w14:paraId="2F8AD71C">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严格控制将耕地转为建设用地或者林地、草地、园地等其他农用地及农业设施建设用地。经依法批准转用的，应当按照国家规定落实耕地占补平衡要求。</w:t>
      </w:r>
    </w:p>
    <w:p w14:paraId="3F4C18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本省对生态保护红线内的生态保护区实行严格保护。其中，自然保护地核心保护区原则上禁止人为活动；其他区域禁止开发性、生产性建设活动，仅允许依法开展对生态功能不造成破坏的有限人为活动。</w:t>
      </w:r>
    </w:p>
    <w:p w14:paraId="21D8B3F5">
      <w:pPr>
        <w:ind w:firstLine="632" w:firstLineChars="200"/>
        <w:rPr>
          <w:rFonts w:ascii="Times New Roman" w:hAnsi="Times New Roman" w:cs="仿宋_GB2312"/>
          <w:sz w:val="32"/>
          <w:szCs w:val="32"/>
        </w:rPr>
      </w:pPr>
      <w:r>
        <w:rPr>
          <w:rFonts w:hint="eastAsia" w:ascii="Times New Roman" w:hAnsi="Times New Roman" w:cs="仿宋_GB2312"/>
          <w:sz w:val="32"/>
          <w:szCs w:val="32"/>
        </w:rPr>
        <w:t>限制在生态保护红线外的生态控制区开展建设活动，具体准入情形依照法律、法规的规定执行。</w:t>
      </w:r>
    </w:p>
    <w:p w14:paraId="0DAD8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城镇建设用地一般应当集中布局在城镇开发边界内。除国家另有规定外，在城镇开发边界外不得开展城镇集中建设，不得设立各类开发区、城市新区。</w:t>
      </w:r>
    </w:p>
    <w:p w14:paraId="04948CB0">
      <w:pPr>
        <w:ind w:firstLine="632" w:firstLineChars="200"/>
        <w:rPr>
          <w:rFonts w:ascii="Times New Roman" w:hAnsi="Times New Roman" w:cs="仿宋_GB2312"/>
          <w:sz w:val="32"/>
          <w:szCs w:val="32"/>
        </w:rPr>
      </w:pPr>
      <w:r>
        <w:rPr>
          <w:rFonts w:hint="eastAsia" w:ascii="Times New Roman" w:hAnsi="Times New Roman" w:cs="仿宋_GB2312"/>
          <w:sz w:val="32"/>
          <w:szCs w:val="32"/>
        </w:rPr>
        <w:t>村庄建设用地应当集中布局在村庄建设边界内，村庄建设用地应当优先保障农村村民住宅和公共服务设施的用地需求。</w:t>
      </w:r>
    </w:p>
    <w:p w14:paraId="6A1BF29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应当采取措施，保障农村无房户、住房困难户住宅建设用地指标单列和规划空间落地。国土空间总体规划确定为搬迁撤并类的村庄，应当同时明确该村无房户、住房困难户居住需求的保障方案。</w:t>
      </w:r>
    </w:p>
    <w:p w14:paraId="7DBA616F">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下列特殊建设项目可以在城镇开发边界和村庄建设边界外布局：</w:t>
      </w:r>
    </w:p>
    <w:p w14:paraId="692D25DB">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（一）交通、能源、水利、矿山等单独选址的建设项目；</w:t>
      </w:r>
    </w:p>
    <w:p w14:paraId="09BAAE7F">
      <w:pPr>
        <w:ind w:firstLine="632" w:firstLineChars="200"/>
        <w:rPr>
          <w:rFonts w:ascii="Times New Roman" w:hAnsi="Times New Roman" w:cs="仿宋_GB2312"/>
          <w:sz w:val="32"/>
          <w:szCs w:val="32"/>
        </w:rPr>
      </w:pPr>
      <w:r>
        <w:rPr>
          <w:rFonts w:hint="eastAsia" w:ascii="Times New Roman" w:hAnsi="Times New Roman" w:cs="仿宋_GB2312"/>
          <w:sz w:val="32"/>
          <w:szCs w:val="32"/>
        </w:rPr>
        <w:t>（二）军事设施、文物古迹、风景名胜、监教场所、殡葬等特殊用地建设项目；</w:t>
      </w:r>
    </w:p>
    <w:p w14:paraId="390765EB">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（三）供变电、污水处理等有邻避效应的建设项目；</w:t>
      </w:r>
    </w:p>
    <w:p w14:paraId="1AA59954">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（四）农村一二三产业融合发展建设项目；</w:t>
      </w:r>
    </w:p>
    <w:p w14:paraId="3EDD1662">
      <w:pPr>
        <w:ind w:firstLine="632" w:firstLineChars="200"/>
        <w:rPr>
          <w:rFonts w:ascii="Times New Roman" w:hAnsi="Times New Roman" w:cs="仿宋_GB2312"/>
          <w:sz w:val="32"/>
          <w:szCs w:val="32"/>
        </w:rPr>
      </w:pPr>
      <w:r>
        <w:rPr>
          <w:rFonts w:hint="eastAsia" w:ascii="Times New Roman" w:hAnsi="Times New Roman" w:cs="仿宋_GB2312"/>
          <w:sz w:val="32"/>
          <w:szCs w:val="32"/>
        </w:rPr>
        <w:t>（五）确需在边界外布局的其他特殊建设项目。</w:t>
      </w:r>
    </w:p>
    <w:p w14:paraId="1EECE1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保护、开发、利用海洋空间应当严格落实生态保护红线的管控要求，建立海岸线建筑物退让和管控机制，保护自然岸线风貌、自然景观以及历史、人文遗迹。</w:t>
      </w:r>
    </w:p>
    <w:p w14:paraId="594C5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自然生态资源、历史文化资源集中的地区，应当按照空间形态控制指标、历史文化保护线等国土空间规划确定的要求，实施分类保护和风貌管控。</w:t>
      </w:r>
    </w:p>
    <w:p w14:paraId="39B4A8E5">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开发建设活动不得破坏历史文化遗产的遗产本体、传统格局、整体风貌、历史文脉。需要开展文物考古、历史文化资源前置调查等工作的，依照法律、法规的规定执行。</w:t>
      </w:r>
    </w:p>
    <w:p w14:paraId="68E962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地下空间的开发和利用应当遵循整体规划、综合开发、分层利用、互联互通的原则，充分考虑防灾减灾、人民防空、公共服务设施、市政公用设施等建设的要求。</w:t>
      </w:r>
    </w:p>
    <w:p w14:paraId="2FD6D1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设区的市、县（市）自然资源主管部门应当组织编制国土空间生态修复专项规划，提出生态修复的重点区域、目标任务、方案措施等，推进国土空间全要素整体保护、系统修复、综合治理。</w:t>
      </w:r>
    </w:p>
    <w:p w14:paraId="232A203F">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设区的市、县（市、区）人民政府及其有关部门应当按照国土空间生态修复专项规划的要求，建立健全国土空间生态修复长效机制，分区分类有序开展受损生态空间修复。</w:t>
      </w:r>
    </w:p>
    <w:p w14:paraId="07685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设区的市、县（市、区）人民政府应当鼓励开展土地综合整治，推进节约集约用地。</w:t>
      </w:r>
    </w:p>
    <w:p w14:paraId="1C9B52A0">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县（市、区）人民政府应当按照国土空间规划要求编制土地综合整治计划，通过实施土地整理、村庄整治、城镇低效用地整治，系统推进田、水、路、林、村综合整治，促进国土空间布局优化、产业聚集发展。</w:t>
      </w:r>
    </w:p>
    <w:p w14:paraId="4DEFE844">
      <w:pPr>
        <w:ind w:firstLine="632" w:firstLineChars="200"/>
        <w:rPr>
          <w:rFonts w:ascii="Times New Roman" w:hAnsi="Times New Roman" w:cs="仿宋_GB2312"/>
          <w:sz w:val="32"/>
          <w:szCs w:val="32"/>
        </w:rPr>
      </w:pPr>
      <w:r>
        <w:rPr>
          <w:rFonts w:hint="eastAsia" w:ascii="Times New Roman" w:hAnsi="Times New Roman" w:cs="仿宋_GB2312"/>
          <w:sz w:val="32"/>
          <w:szCs w:val="32"/>
        </w:rPr>
        <w:t>确定以及开展农村土地综合整治项目，应当充分尊重项目所在地集体经济组织及相关成员意见，并依法进行公示。</w:t>
      </w:r>
    </w:p>
    <w:p w14:paraId="5368D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设区的市、县（市、区）人民政府开展城市更新应当符合国土空间规划和用途管制要求，优先安排公共服务设施和市政公用设施建设，提升城镇功能，营造基础设施健全、公共服务便利、居住品质提升的宜居环境。</w:t>
      </w:r>
    </w:p>
    <w:p w14:paraId="47177CD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鼓励老旧小区增设公共服务设施、共用设施设备。老旧小区增设公共服务设施、共用设施设备的，应当符合国家有关房屋结构安全、消防、通风、采光、日照、隔声等强制性标准。</w:t>
      </w:r>
    </w:p>
    <w:p w14:paraId="11D00299">
      <w:pPr>
        <w:rPr>
          <w:rFonts w:ascii="Times New Roman" w:hAnsi="Times New Roman" w:eastAsia="宋体" w:cs="宋体"/>
          <w:szCs w:val="32"/>
        </w:rPr>
      </w:pPr>
    </w:p>
    <w:p w14:paraId="16451DDF">
      <w:pPr>
        <w:jc w:val="center"/>
        <w:rPr>
          <w:rFonts w:ascii="Times New Roman" w:hAnsi="Times New Roman" w:eastAsia="黑体" w:cs="黑体"/>
          <w:szCs w:val="32"/>
        </w:rPr>
      </w:pPr>
      <w:r>
        <w:rPr>
          <w:rFonts w:hint="eastAsia" w:ascii="Times New Roman" w:hAnsi="Times New Roman" w:eastAsia="黑体" w:cs="黑体"/>
          <w:szCs w:val="32"/>
        </w:rPr>
        <w:t>第四章　国土空间规划实施</w:t>
      </w:r>
    </w:p>
    <w:p w14:paraId="3FD48A26">
      <w:pPr>
        <w:rPr>
          <w:rFonts w:ascii="Times New Roman" w:hAnsi="Times New Roman" w:eastAsia="宋体" w:cs="宋体"/>
          <w:szCs w:val="32"/>
        </w:rPr>
      </w:pPr>
    </w:p>
    <w:p w14:paraId="14CBCFF8">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2B97C334">
      <w:pPr>
        <w:rPr>
          <w:rFonts w:ascii="Times New Roman" w:hAnsi="Times New Roman" w:eastAsia="宋体" w:cs="宋体"/>
          <w:szCs w:val="32"/>
        </w:rPr>
      </w:pPr>
    </w:p>
    <w:p w14:paraId="040C6E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国土空间建设活动应当符合国土空间规划，并依法取得规划许可。</w:t>
      </w:r>
    </w:p>
    <w:p w14:paraId="06B327E0">
      <w:pPr>
        <w:ind w:firstLine="632" w:firstLineChars="200"/>
        <w:rPr>
          <w:rFonts w:ascii="Times New Roman" w:hAnsi="Times New Roman" w:cs="仿宋_GB2312"/>
          <w:sz w:val="32"/>
          <w:szCs w:val="32"/>
        </w:rPr>
      </w:pPr>
      <w:r>
        <w:rPr>
          <w:rFonts w:hint="eastAsia" w:ascii="Times New Roman" w:hAnsi="Times New Roman" w:cs="仿宋_GB2312"/>
          <w:sz w:val="32"/>
          <w:szCs w:val="32"/>
        </w:rPr>
        <w:t>在已编制国土空间详细规划、村庄规划的区域内开展建设活动的，自然资源主管部门应当依据国土空间详细规划、村庄规划核定规划条件或者规划要求，作出规划许可。</w:t>
      </w:r>
    </w:p>
    <w:p w14:paraId="51F663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在城镇开发边界外未编制国土空间详细规划和村庄规划的区域开展特殊建设项目建设的，自然资源主管部门可以依据经县级以上人民政府批准的项目规划落实方案作出规划许可。</w:t>
      </w:r>
    </w:p>
    <w:p w14:paraId="74563F02">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依据项目规划落实方案实施许可管理的具体办法，由省自然资源主管部门制定，报省人民政府批准。</w:t>
      </w:r>
    </w:p>
    <w:p w14:paraId="23D274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在未编制村庄规划的村庄范围内开展乡村公共设施、公益事业建设或者农村村民住宅建设的，自然资源主管部门可以依据通则式村庄规划作出规划许可。</w:t>
      </w:r>
    </w:p>
    <w:p w14:paraId="7E4E9A41">
      <w:pPr>
        <w:ind w:firstLine="632" w:firstLineChars="200"/>
        <w:rPr>
          <w:rFonts w:ascii="Times New Roman" w:hAnsi="Times New Roman" w:cs="仿宋_GB2312"/>
          <w:sz w:val="32"/>
          <w:szCs w:val="32"/>
        </w:rPr>
      </w:pPr>
      <w:r>
        <w:rPr>
          <w:rFonts w:hint="eastAsia" w:ascii="Times New Roman" w:hAnsi="Times New Roman" w:cs="仿宋_GB2312"/>
          <w:sz w:val="32"/>
          <w:szCs w:val="32"/>
        </w:rPr>
        <w:t>通则式村庄规划的管理规定，由设区的市、县（市）自然资源主管部门制定，报本级人民政府批准。</w:t>
      </w:r>
    </w:p>
    <w:p w14:paraId="72E2C2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与地表建设工程一并开发利用地上、地下空间的，自然资源主管部门应当一并作出规划许可；独立开发利用地上、地下空间的，单独作出规划许可。</w:t>
      </w:r>
    </w:p>
    <w:p w14:paraId="17EE73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海域和海岛保护、开发、利用等建设活动的规划许可，依照海域使用管理和海岛保护等法律、法规的规定执行。</w:t>
      </w:r>
    </w:p>
    <w:p w14:paraId="1ABD96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规划许可直接涉及申请人与他人之间重大利益关系的，规划许可机关在作出规划许可决定前，应当依法将许可内容、申请人和利害关系人享有的权利等事项在政府门户网站和建设项目现场等场所进行公示。公示期限不少于十日。</w:t>
      </w:r>
    </w:p>
    <w:p w14:paraId="7B5F7977">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申请人、利害关系人对许可事项提出异议的，规划许可机关应当研究处理并及时回复。申请人、利害关系人在法定期限内提出听证要求的，规划许可机关应当组织听证。</w:t>
      </w:r>
    </w:p>
    <w:p w14:paraId="61C75EB7">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除法律、法规和国家另有规定外，规划许可机关应当自作出规划许可决定之日起七个工作日内，将许可内容在政府门户网站和建设项目现场等场所向社会公布。</w:t>
      </w:r>
    </w:p>
    <w:p w14:paraId="5CD4376D">
      <w:pPr>
        <w:rPr>
          <w:rFonts w:ascii="Times New Roman" w:hAnsi="Times New Roman" w:eastAsia="宋体" w:cs="宋体"/>
          <w:szCs w:val="32"/>
        </w:rPr>
      </w:pPr>
    </w:p>
    <w:p w14:paraId="64CD7EFD">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建设用地规划管理</w:t>
      </w:r>
    </w:p>
    <w:p w14:paraId="2B62C16A">
      <w:pPr>
        <w:rPr>
          <w:rFonts w:ascii="Times New Roman" w:hAnsi="Times New Roman" w:eastAsia="宋体" w:cs="宋体"/>
          <w:szCs w:val="32"/>
        </w:rPr>
      </w:pPr>
    </w:p>
    <w:p w14:paraId="2BA56C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依法需要办理用地预审与选址意见书的建设项目，建设单位在报送有关部门批准、核准前或者建设项目备案阶段，应当向自然资源主管部门申请核发建设项目用地预审与选址意见书。</w:t>
      </w:r>
    </w:p>
    <w:p w14:paraId="502A4F65">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建设项目的选址方案涉及占用耕地和永久基本农田、生态保护红线以及可能对城乡空间布局产生重大影响的，建设单位除按照规定提交申请材料外，还应当提交规划选址合理性论证报告。</w:t>
      </w:r>
    </w:p>
    <w:p w14:paraId="1BB7FE8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建设项目用地预审与选址意见书的核发权限和程序，按照国家有关规定执行。</w:t>
      </w:r>
    </w:p>
    <w:p w14:paraId="4C52E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在国土空间规划确定的城镇建设用地范围（以下简称城镇建设用地范围）内以划拨方式提供国有建设用地使用权的建设项目，建设单位应当持建设项目批准、核准、备案文件，向自然资源主管部门申请核发建设用地规划许可证。</w:t>
      </w:r>
    </w:p>
    <w:p w14:paraId="31582EFB">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在城镇建设用地范围内使用集体所有土地的建设项目，建设单位或者个人应当持建设项目批准、核准、备案文件，以及农村集体经济组织的书面同意意见向自然资源主管部门申请核发建设用地规划许可证。</w:t>
      </w:r>
    </w:p>
    <w:p w14:paraId="3A4D1A62">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的建设项目，自然资源主管部门应当在用地预审与选址意见书中明确规划条件；依法不需要核发用地预审与选址意见书的建设项目的规划条件或者用地预审与选址意见书未能及时明确的规划条件，应当在建设用地规划许可证中明确。</w:t>
      </w:r>
    </w:p>
    <w:p w14:paraId="65ABA11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本条第一款规定的城镇建设用地范围，是指城镇开发边界内的建设用地，以及城镇开发边界外国土空间规划确定的具有城镇功能的零星建设用地涉及的范围。</w:t>
      </w:r>
    </w:p>
    <w:p w14:paraId="4DDE97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在城镇建设用地范围内以出让方式提供国有建设用地使用权的，在国有建设用地使用权出让前，自然资源主管部门应当依法提出规划条件，作为国有建设用地使用权出让合同的组成部分。未确定规划条件的地块，不得出让国有建设用地使用权。</w:t>
      </w:r>
    </w:p>
    <w:p w14:paraId="186B6BAA">
      <w:pPr>
        <w:ind w:firstLine="632" w:firstLineChars="200"/>
        <w:rPr>
          <w:rFonts w:ascii="Times New Roman" w:hAnsi="Times New Roman" w:cs="仿宋_GB2312"/>
          <w:sz w:val="32"/>
          <w:szCs w:val="32"/>
        </w:rPr>
      </w:pPr>
      <w:r>
        <w:rPr>
          <w:rFonts w:hint="eastAsia" w:ascii="Times New Roman" w:hAnsi="Times New Roman" w:cs="仿宋_GB2312"/>
          <w:sz w:val="32"/>
          <w:szCs w:val="32"/>
        </w:rPr>
        <w:t>以出让方式取得国有建设用地使用权的建设项目，建设单位或者个人在取得建设项目批准、核准、备案文件和签订国有建设用地使用权出让合同后，向自然资源主管部门领取建设用地规划许可证。</w:t>
      </w:r>
    </w:p>
    <w:p w14:paraId="3669E0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房屋建筑工程建设用地的规划条件一般包括：建设用地的位置和面积、使用性质、建筑密度、容积率、绿地率，建筑退让、建筑高度、建筑风貌、主要交通出入口，停车位配建，地下空间开发利用，配套建设的基础设施和公共服务设施等要求。</w:t>
      </w:r>
    </w:p>
    <w:p w14:paraId="1817FBEA">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道路、管网等市政线性工程建设用地的规划条件一般包括建设用地的位置和面积、使用性质、长度、宽度、地下空间开发利用等要求。</w:t>
      </w:r>
    </w:p>
    <w:p w14:paraId="72AADBE3">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个人应当按照核定的规划条件编制建设工程设计方案。确需变更规划条件的，应当经自然资源主管部门依法批准；但是，以出让方式提供国有建设用地使用权的住宅、商业、商务类建设项目，不得改变规划条件确定的用地性质，不得提高规划条件确定的容积率、建筑高度、建筑密度，不得降低规划条件确定的绿地率或者减少规划条件确定的基础设施、公共服务配套。</w:t>
      </w:r>
    </w:p>
    <w:p w14:paraId="247D7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以出让方式提供国有建设用地使用权的，自然资源主管部门在核定项目规划条件时，应当通过国土空间治理数字化平台汇集教育、民政、生态环境、住房城乡建设、文化广电旅游、人民防空等部门依法提出的建设要求。建设项目的规划条件和建设要求应当纳入出让地块的出让方案，报经设区的市、县（市）人民政府批准后按照规定予以公布。</w:t>
      </w:r>
    </w:p>
    <w:p w14:paraId="11088B56">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规划条件和建设要求由自然资源、住房城乡建设、人民防空等相关主管部门按照各自职责监督实施。相关主管部门应当通过全过程数字化管理，加强工程建设关键环节和重要节点的指导服务。</w:t>
      </w:r>
    </w:p>
    <w:p w14:paraId="69BC47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已纳入城镇低效用地再开发范围的国有建设用地同时符合下列条件的，土地使用权人可以向设区的市、县（市）自然资源主管部门申请变更土地开发强度或者变更用地性质，但不得申请将其他性质的建设用地变更为经营性房地产用地：</w:t>
      </w:r>
    </w:p>
    <w:p w14:paraId="03518547">
      <w:pPr>
        <w:ind w:firstLine="632" w:firstLineChars="200"/>
        <w:rPr>
          <w:rFonts w:ascii="Times New Roman" w:hAnsi="Times New Roman" w:cs="仿宋_GB2312"/>
          <w:sz w:val="32"/>
          <w:szCs w:val="32"/>
        </w:rPr>
      </w:pPr>
      <w:r>
        <w:rPr>
          <w:rFonts w:hint="eastAsia" w:ascii="Times New Roman" w:hAnsi="Times New Roman" w:cs="仿宋_GB2312"/>
          <w:sz w:val="32"/>
          <w:szCs w:val="32"/>
        </w:rPr>
        <w:t>（一）该幅土地未纳入近三年内的土地收储计划；</w:t>
      </w:r>
    </w:p>
    <w:p w14:paraId="7881131D">
      <w:pPr>
        <w:ind w:firstLine="632" w:firstLineChars="200"/>
        <w:rPr>
          <w:rFonts w:ascii="Times New Roman" w:hAnsi="Times New Roman" w:cs="仿宋_GB2312"/>
          <w:sz w:val="32"/>
          <w:szCs w:val="32"/>
        </w:rPr>
      </w:pPr>
      <w:r>
        <w:rPr>
          <w:rFonts w:hint="eastAsia" w:ascii="Times New Roman" w:hAnsi="Times New Roman" w:cs="仿宋_GB2312"/>
          <w:sz w:val="32"/>
          <w:szCs w:val="32"/>
        </w:rPr>
        <w:t>（二）变更用地性质范围与不动产权证登记范围一致；</w:t>
      </w:r>
    </w:p>
    <w:p w14:paraId="1CD473F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（三）变更要求符合该地块国土空间详细规划；</w:t>
      </w:r>
    </w:p>
    <w:p w14:paraId="68DAAA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14:paraId="31579113">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土地使用权人依照前款规定提出变更申请的，应当提交不动产权属证明、原规划批准文件等材料。建设项目按照规定需要批准、核准或者备案的，还应当提交批准、核准或者备案文件。</w:t>
      </w:r>
    </w:p>
    <w:p w14:paraId="78B17BB0">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应当根据该地块详细规划和土地使用权人的变更要求，重新核定规划条件，在征求相关主管部门的建设要求后，编制变更方案报本级人民政府批准，并将重新核定的规划条件纳入国有建设用地使用权出让合同变更协议。</w:t>
      </w:r>
    </w:p>
    <w:p w14:paraId="51014C31">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土地使用权人应当根据核定的规划条件，重新取得规划许可，并依法补缴土地使用权出让金。</w:t>
      </w:r>
    </w:p>
    <w:p w14:paraId="0752FEB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本条第一款规定的城镇低效用地的认定办法，由设区的市人民政府制定。</w:t>
      </w:r>
    </w:p>
    <w:p w14:paraId="01BD93A9">
      <w:pPr>
        <w:rPr>
          <w:rFonts w:ascii="Times New Roman" w:hAnsi="Times New Roman" w:eastAsia="宋体" w:cs="宋体"/>
          <w:szCs w:val="32"/>
        </w:rPr>
      </w:pPr>
    </w:p>
    <w:p w14:paraId="672F2D4B">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建设工程规划管理</w:t>
      </w:r>
    </w:p>
    <w:p w14:paraId="001E9CD2">
      <w:pPr>
        <w:rPr>
          <w:rFonts w:ascii="Times New Roman" w:hAnsi="Times New Roman" w:eastAsia="宋体" w:cs="宋体"/>
          <w:szCs w:val="32"/>
        </w:rPr>
      </w:pPr>
    </w:p>
    <w:p w14:paraId="17A3D0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在城镇建设用地范围内进行建筑物、构筑物、道路、管线以及其他工程建设的，建设单位或者个人应当依法向设区的市、县（市）自然资源主管部门申请核发建设工程规划许可证。</w:t>
      </w:r>
    </w:p>
    <w:p w14:paraId="4390D8A9">
      <w:pPr>
        <w:ind w:firstLine="632" w:firstLineChars="200"/>
        <w:rPr>
          <w:rFonts w:ascii="Times New Roman" w:hAnsi="Times New Roman" w:cs="仿宋_GB2312"/>
          <w:sz w:val="32"/>
          <w:szCs w:val="32"/>
        </w:rPr>
      </w:pPr>
      <w:r>
        <w:rPr>
          <w:rFonts w:hint="eastAsia" w:ascii="Times New Roman" w:hAnsi="Times New Roman" w:cs="仿宋_GB2312"/>
          <w:sz w:val="32"/>
          <w:szCs w:val="32"/>
        </w:rPr>
        <w:t>有相关主管部门实施管理、有统一建设标准和规范要求、不影响安全管理要求且不影响国土空间规划实施的老旧小区微改造、城市公共空间服务功能提升微更新等工程建设，不需要申请建设工程规划许可证。具体办法由设区的市人民政府制定。</w:t>
      </w:r>
    </w:p>
    <w:p w14:paraId="42FE14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申请核发建设工程规划许可证，应当提交使用土地的有关证明文件、建设工程设计方案等材料。</w:t>
      </w:r>
    </w:p>
    <w:p w14:paraId="7AC11AD9">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国土空间详细规划和规划条件的，由设区的市、县（市）自然资源主管部门核发建设工程规划许可证，明确建设工程的占地位置、建筑面积和高度、建筑风貌等管控要求，并将经审定的建设工程设计方案总平面图予以公布。对于出让方案明确的与工程建设直接相关的有关建设要求，自然资源主管部门在审查建设工程设计方案时应当征求相关主管部门意见。</w:t>
      </w:r>
    </w:p>
    <w:p w14:paraId="6636F6D7">
      <w:pPr>
        <w:ind w:firstLine="632" w:firstLineChars="200"/>
        <w:rPr>
          <w:rFonts w:ascii="Times New Roman" w:hAnsi="Times New Roman" w:cs="仿宋_GB2312"/>
          <w:sz w:val="32"/>
          <w:szCs w:val="32"/>
        </w:rPr>
      </w:pPr>
      <w:r>
        <w:rPr>
          <w:rFonts w:hint="eastAsia" w:ascii="Times New Roman" w:hAnsi="Times New Roman" w:cs="仿宋_GB2312"/>
          <w:sz w:val="32"/>
          <w:szCs w:val="32"/>
        </w:rPr>
        <w:t>因应急处置突发事件，建设单位可以先行组织实施应急抢险工程，同时向设区的市、县（市）自然资源主管部门书面报告，并在其确定的期限内补办手续。</w:t>
      </w:r>
    </w:p>
    <w:p w14:paraId="500593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设区的市、县（市）自然资源主管部门应当根据建设项目类型、规模、投资类别等，依法精简审批环节，优化审批流程，分类实行建设工程规划许可。</w:t>
      </w:r>
    </w:p>
    <w:p w14:paraId="3DD2282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符合国土空间规划要求，土地权属清晰且不涉及规划调整、不影响周边利害关系人合法权益的，可以实行建设工程规划许可告知承诺制。经建设单位或者个人申请并按照要求书面承诺达到建设工程规划许可条件的，可以先行核发建设工程规划许可证。</w:t>
      </w:r>
    </w:p>
    <w:p w14:paraId="5BAAF844">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设区的市、县（市）自然资源主管部门应当公布实行告知承诺制的审批事项清单和具体要求，并对履行承诺情况进行监督检查。</w:t>
      </w:r>
    </w:p>
    <w:p w14:paraId="4C2B9F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在国土空间规划确定的村庄建设用地范围（以下简称村庄建设用地范围）内使用集体所有土地进行乡镇企业、乡村公共设施、公益事业建设的，建设单位或者个人应当持农村集体经济组织的书面同意意见、使用土地的有关证明文件向设区的市、县（市）自然资源主管部门申请核发乡村建设规划许可证。</w:t>
      </w:r>
    </w:p>
    <w:p w14:paraId="07685BC9">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设区的市、县（市）自然资源主管部门应当自受理申请之日起五个工作日内，核定建设用地位置、允许建设的范围、基础标高、建筑高度等规划要求。</w:t>
      </w:r>
    </w:p>
    <w:p w14:paraId="283A96FA">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个人应当按照规划要求，向设区的市、县（市）自然资源主管部门提交建设工程设计方案。建设工程设计方案符合规划要求的，设区的市、县（市）自然资源主管部门应当自收到建设工程设计方案之日起十五个工作日内，依法核发乡村建设规划许可证。</w:t>
      </w:r>
    </w:p>
    <w:p w14:paraId="58502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在村庄建设用地范围内使用集体所有土地进行农村村民住宅建设的，农村村民应当持农村集体经济组织的书面同意意见、使用土地的有关证明文件、住宅设计图件向乡镇人民政府、街道办事处提出乡村建设规划许可申请。乡镇人民政府、街道办事处应当自受理申请之日起五个工作日内，报设区的市、县（市）自然资源主管部门。</w:t>
      </w:r>
    </w:p>
    <w:p w14:paraId="0E2C13E6">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设区的市、县（市）自然资源主管部门应当自收到申请之日起十五个工作日内核发乡村建设规划许可证，并在乡村建设规划许可证中明确建设用地位置、允许建设的范围、基础标高、建筑高度等规划要求。</w:t>
      </w:r>
    </w:p>
    <w:p w14:paraId="612F861D">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设区的市、县（市）自然资源主管部门可以委托乡镇人民政府、街道办事处核发乡村建设规划许可证。</w:t>
      </w:r>
    </w:p>
    <w:p w14:paraId="677BA7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在村庄建设用地范围内使用国有建设用地进行工程建设的，自然资源主管部门应当按照城镇建设用地范围内的工程建设项目作出规划许可。</w:t>
      </w:r>
    </w:p>
    <w:p w14:paraId="0CB227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建设工程设计方案应当符合规划条件、规划要求、相关技术标准和规范。</w:t>
      </w:r>
    </w:p>
    <w:p w14:paraId="209FA6A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建设工程设计方案应当载明分类建筑用途；其中，用于销售的住宅、商业、商务类建设项目应当明确公共场地、公用设施和物业管理用房的位置、面积。</w:t>
      </w:r>
    </w:p>
    <w:p w14:paraId="5E0BF6D2">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施工图应当落实建设工程设计方案，并与其标明的技术经济指标和平面布局、功能布局等相一致。施工图审查机构应当对建筑施工图落实建设工程设计方案及其标明的技术经济指标和平面布局、功能布局等情况实施审查。自然资源主管部门应当通过工程图纸数字化管理系统共享图纸的方式，对施工图审查机构审查施工图落实建设工程设计方案及其标明的技术经济指标和平面布局、功能布局等情况实施监督。</w:t>
      </w:r>
    </w:p>
    <w:p w14:paraId="326065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建设项目需要分期建设的，建设单位应当在建设工程设计方案中明确分期建设计划、分期建设用地范围、建设规模和配套设施等内容，并向设区的市、县（市）自然资源主管部门分期申请核发建设工程规划许可证。</w:t>
      </w:r>
    </w:p>
    <w:p w14:paraId="48A9163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建设项目分期建设符合规定要求的，由设区的市、县（市）自然资源主管部门分期核发建设工程规划许可证。</w:t>
      </w:r>
    </w:p>
    <w:p w14:paraId="592C782E">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分期建设应当优先安排基础设施和公共服务设施建设，实施年限不得超过国有建设用地使用权出让合同或者划拨决定书确定的竣工期限。</w:t>
      </w:r>
    </w:p>
    <w:p w14:paraId="1A73DB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建设单位或者个人应当按照建设工程规划许可证或者乡村建设规划许可证的许可内容进行建设。确需变更许可内容的，应当经原许可机关批准。申请变更的内容不符合规划条件的，不得批准。</w:t>
      </w:r>
    </w:p>
    <w:p w14:paraId="54FDC7D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建设单位或者个人应当在建设项目开工前组织实施建设工程坐标放线。自然资源主管部门应当加强建设工程验线管理和指导服务。</w:t>
      </w:r>
    </w:p>
    <w:p w14:paraId="61017B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建设单位或者个人取得建设工程规划许可证、乡村建设规划许可证一年内未取得施工许可证，或者依法不需要取得施工许可证但一年内未开工建设的，可以在期限届满前三十日内向原许可机关申请办理延期手续；申请延续的次数不得超过两次，每次延续期限不得超过一年；逾期未申请延续或者延续申请未获批准的，相应的建设工程规划许可证、乡村建设规划许可证失效。</w:t>
      </w:r>
    </w:p>
    <w:p w14:paraId="6C853E3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建设项目批准、核准文件被依法撤销、撤回、吊销，或者土地使用权被依法收回的，许可机关核发的相应规划许可证失效。</w:t>
      </w:r>
    </w:p>
    <w:p w14:paraId="11ED254B">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规划许可证失效的，许可机关应当注销相应的规划许可证。</w:t>
      </w:r>
    </w:p>
    <w:p w14:paraId="077566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土地使用权人在城镇建设用地范围内进行临时建设的，应当取得设区的市、县（市）自然资源主管部门核发的临时建设工程规划许可证，但建设项目用地范围内因施工需要进行的临时建设除外。</w:t>
      </w:r>
    </w:p>
    <w:p w14:paraId="32CECF58">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临时建设影响国土空间规划实施或者不符合交通、市容、安全等要求的，设区的市、县（市）自然资源主管部门不得批准。</w:t>
      </w:r>
    </w:p>
    <w:p w14:paraId="248E7CF4">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建设工程规划许可证的有效期不得超过两年。有效期届满确需延续的，可以在有效期届满前三十日内向原核发机关申请办理延续手续，每次延续期限不得超过一年，延续次数不得超过两次。临时建筑应当在临时建设工程规划许可证的有效期届满前自行拆除。</w:t>
      </w:r>
    </w:p>
    <w:p w14:paraId="22EEF290">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临时建筑不得改变临时建设工程规划许可证确定的用途。</w:t>
      </w:r>
    </w:p>
    <w:p w14:paraId="1BAAFE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在城镇建设用地范围内因建设项目施工或者地质勘查需要临时使用土地进行临时建设的，自然资源主管部门在开展临时用地审批时，应当根据需要明确临时用地用途、期限以及允许建设的范围、建筑高度、建筑用途等临时建设要求，不再核发临时建设工程规划许可证。</w:t>
      </w:r>
    </w:p>
    <w:p w14:paraId="5C714F15">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临时使用土地的期限按照国家有关规定执行。</w:t>
      </w:r>
    </w:p>
    <w:p w14:paraId="240D14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建设单位或者个人应当在建设工程竣工后，向设区的市、县（市）自然资源主管部门申请建设工程竣工规划核实。</w:t>
      </w:r>
    </w:p>
    <w:p w14:paraId="5FDC05CB">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应当通过图件核验、现场勘查等方式进行核实。符合规划许可内容的，应当自受理申请之日起十五个工作日内，出具建设工程规划核实确认书；不符合规划许可内容不予出具建设工程规划核实确认书的，应当自受理申请之日起十五个工作日内书面告知理由。</w:t>
      </w:r>
    </w:p>
    <w:p w14:paraId="2F345F68">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设区的市、县（市）自然资源主管部门依照本条例委托乡镇人民政府、街道办事处核发乡村建设规划许可证的，可以一并委托其办理建设工程竣工规划核实事项。</w:t>
      </w:r>
    </w:p>
    <w:p w14:paraId="6E8DBB26">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未取得建设工程规划核实确认书的，建设单位或者个人不得组织竣工验收。</w:t>
      </w:r>
    </w:p>
    <w:p w14:paraId="5F8F2703">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对规划许可确定应当予以拆除的建筑物、构筑物和相关临时设施，建设单位或者个人应当在申请建设工程竣工规划核实前自行拆除。</w:t>
      </w:r>
    </w:p>
    <w:p w14:paraId="38B75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房屋所有权人、房屋使用权人应当按照建设工程规划许可证确定的用途使用房屋。确需临时改变房屋用途的，应当依法经设区的市、县（市）自然资源主管部门批准，并按照规定缴纳土地收益金。</w:t>
      </w:r>
    </w:p>
    <w:p w14:paraId="705CEAF4">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临时改变房屋用途不得影响国土空间规划实施，不得违反国家有关消防、通风、采光、日照、隔声等强制性标准，并依法办理房屋结构安全、消防安全、环境保护等相关审批、备案手续。</w:t>
      </w:r>
    </w:p>
    <w:p w14:paraId="6494340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申请临时改变房屋用途的，应当征求相关利害关系人的意见；其中，将住宅改为经营性用房的，应当经有利害关系的业主一致同意。</w:t>
      </w:r>
    </w:p>
    <w:p w14:paraId="0F866BB3">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临时改变房屋用途首次申请的期限不超过五年。期限届满确需延续的，可以在期限届满前六十日内向原许可机关申请办理延续手续，每次延续期限不得超过两年。</w:t>
      </w:r>
    </w:p>
    <w:p w14:paraId="522527AC">
      <w:pPr>
        <w:rPr>
          <w:rFonts w:ascii="Times New Roman" w:hAnsi="Times New Roman" w:eastAsia="宋体" w:cs="宋体"/>
          <w:szCs w:val="32"/>
        </w:rPr>
      </w:pPr>
    </w:p>
    <w:p w14:paraId="3524A9E7">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438FAAC0">
      <w:pPr>
        <w:rPr>
          <w:rFonts w:ascii="Times New Roman" w:hAnsi="Times New Roman" w:eastAsia="宋体" w:cs="宋体"/>
          <w:szCs w:val="32"/>
        </w:rPr>
      </w:pPr>
    </w:p>
    <w:p w14:paraId="284C0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县级以上人民政府应当建立国土空间规划监督检查制度，组织对国土空间规划制定、修改和实施等工作进行监督检查。</w:t>
      </w:r>
    </w:p>
    <w:p w14:paraId="18E9DA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各级人民政府应当每年开展国土空间规划实施情况评估，每五年组织阶段性评估。</w:t>
      </w:r>
    </w:p>
    <w:p w14:paraId="63E13173">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设区的市、县（市）自然资源主管部门按照国家和省的规定组织定期评估工作，并逐级报省自然资源主管部门备案。</w:t>
      </w:r>
    </w:p>
    <w:p w14:paraId="6EDBA0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自然资源主管部门应当加强对国土空间规划执行情况的监督检查，依托国土空间治理数字化平台开展长期动态监测和评估预警，对违反国土空间规划确定的强制性内容、约束性指标的情况以及实施进度风险及时预警。</w:t>
      </w:r>
    </w:p>
    <w:p w14:paraId="0D5BBEBC">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国土空间规划执行情况纳入自然资源执法督察内容。</w:t>
      </w:r>
    </w:p>
    <w:p w14:paraId="5D80D2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任何单位和个人有权依法查询已经公开发布的国土空间规划，举报违反国土空间规划的行为。</w:t>
      </w:r>
    </w:p>
    <w:p w14:paraId="794B3AF4">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自然资源主管部门以及其他有关部门，应当及时受理举报，组织核查、处理，并将处理结果告知举报人。</w:t>
      </w:r>
    </w:p>
    <w:p w14:paraId="40A81A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自然资源、公共数据主管部门应当会同有关部门完善国土空间治理数字化平台的数据目录、数据格式、更新频率、共享方式等规则，根据国土空间规划一张图原则，依托一体化智能化公共数据平台汇集相关部门的经济社会、自然资源、生态环境、历史文化等国土空间数据，实现政府部门间数据共享以及政府与社会之间的信息交互，协同提升国土空间治理效能。</w:t>
      </w:r>
    </w:p>
    <w:p w14:paraId="30508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收集、交换、使用和保管国土空间数据应当依法采取安全处理措施，并执行保密规定，不得泄露国土空间数据，不得将国土空间数据用于履行法定职责之外的用途。</w:t>
      </w:r>
    </w:p>
    <w:p w14:paraId="7941AD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县级以上人民代表大会常务委员会、乡镇人民代表大会应当加强对国土空间规划实施情况的监督，定期听取本级人民政府有关国土空间规划实施情况的专项报告。</w:t>
      </w:r>
    </w:p>
    <w:p w14:paraId="6F96FC04">
      <w:pPr>
        <w:rPr>
          <w:rFonts w:ascii="Times New Roman" w:hAnsi="Times New Roman" w:eastAsia="宋体" w:cs="宋体"/>
          <w:szCs w:val="32"/>
        </w:rPr>
      </w:pPr>
    </w:p>
    <w:p w14:paraId="3A0A9689">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5DA1EA83">
      <w:pPr>
        <w:rPr>
          <w:rFonts w:ascii="Times New Roman" w:hAnsi="Times New Roman" w:eastAsia="宋体" w:cs="宋体"/>
          <w:szCs w:val="32"/>
        </w:rPr>
      </w:pPr>
    </w:p>
    <w:p w14:paraId="65B563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违反本条例规定的行为，法律、行政法规已有法律责任规定的，从其规定。</w:t>
      </w:r>
    </w:p>
    <w:p w14:paraId="3CFE8A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各级人民政府及有关部门有下列情形之一的，由有权机关责令改正，对负有责任的领导人员和直接责任人员依法给予处分：</w:t>
      </w:r>
    </w:p>
    <w:p w14:paraId="62196F9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（一）依法应当编制国土空间规划而未组织编制，或者未按照法定程序编制、审批、修改国土空间规划；</w:t>
      </w:r>
    </w:p>
    <w:p w14:paraId="356060D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（二）违反规定核发用地预审与选址意见书、建设用地规划许可证、建设工程规划许可证、乡村建设规划许可证、临时建设工程规划许可证；</w:t>
      </w:r>
    </w:p>
    <w:p w14:paraId="3537F2D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（三）违反规定批准变更规划条件或者规划许可内容；</w:t>
      </w:r>
    </w:p>
    <w:p w14:paraId="1C91AF2F">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（四）对未依法取得规划许可或者违反规划许可的规定进行建设的行为，不予查处或者受理举报后不依法处理；</w:t>
      </w:r>
    </w:p>
    <w:p w14:paraId="2829F60E">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（五）违反规定批准改变房屋用途；</w:t>
      </w:r>
    </w:p>
    <w:p w14:paraId="51BE3694">
      <w:pPr>
        <w:ind w:firstLine="632" w:firstLineChars="200"/>
        <w:rPr>
          <w:rFonts w:ascii="Times New Roman" w:hAnsi="Times New Roman" w:cs="仿宋_GB2312"/>
          <w:sz w:val="32"/>
          <w:szCs w:val="32"/>
        </w:rPr>
      </w:pPr>
      <w:r>
        <w:rPr>
          <w:rFonts w:hint="eastAsia" w:ascii="Times New Roman" w:hAnsi="Times New Roman" w:cs="仿宋_GB2312"/>
          <w:sz w:val="32"/>
          <w:szCs w:val="32"/>
        </w:rPr>
        <w:t>（六）玩忽职守、滥用职权、徇私舞弊的其他行为。</w:t>
      </w:r>
    </w:p>
    <w:p w14:paraId="293AB8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设计单位的建筑施工图与建设工程设计方案及其标明的技术经济指标和平面布局、功能布局等不一致的，由设区的市、县（市、区）住房城乡建设主管部门责令改正，给予警告，可以并处五万元以上三十万元以下的罚款，记入信用档案；情节严重的，原发证机关还应当降低其资质等级或者吊销其资质证书。</w:t>
      </w:r>
    </w:p>
    <w:p w14:paraId="53028BBA">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图审查机构对建筑施工图与建设工程设计方案及其标明的技术经济指标和平面布局、功能布局等不一致情况未作出审查的，由设区的市、县（市、区）住房城乡建设主管部门责令改正，给予警告，可以并处五万元以上三十万元以下的罚款，记入信用档案；情节严重的，省住房城乡建设主管部门还应当将其从审查机构名录中除名。</w:t>
      </w:r>
    </w:p>
    <w:p w14:paraId="5736C6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未取得建设工程规划许可证或者未按照建设工程规划许可证的规定进行建设的，由设区的市、县（市、区）自然资源主管部门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14:paraId="6077472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建设工程有下列违法情形之一的，应当认定为前款规定的无法采取改正措施消除影响的情形：</w:t>
      </w:r>
    </w:p>
    <w:p w14:paraId="7C3DE80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（一）不符合国土空间详细规划确定的强制性内容；</w:t>
      </w:r>
    </w:p>
    <w:p w14:paraId="7D01C550">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（二）侵占城镇道路、消防通道、广场、公共绿地等公共场地、公共设施用地；</w:t>
      </w:r>
    </w:p>
    <w:p w14:paraId="7C774628">
      <w:pPr>
        <w:ind w:firstLine="632" w:firstLineChars="200"/>
        <w:rPr>
          <w:rFonts w:ascii="Times New Roman" w:hAnsi="Times New Roman" w:cs="仿宋_GB2312"/>
          <w:sz w:val="32"/>
          <w:szCs w:val="32"/>
        </w:rPr>
      </w:pPr>
      <w:r>
        <w:rPr>
          <w:rFonts w:hint="eastAsia" w:ascii="Times New Roman" w:hAnsi="Times New Roman" w:cs="仿宋_GB2312"/>
          <w:sz w:val="32"/>
          <w:szCs w:val="32"/>
        </w:rPr>
        <w:t>（三）存在建筑安全隐患、影响相邻建筑安全，或者导致相邻建筑无法满足国家有关消防、通风、采光、日照、隔声等强制性标准；</w:t>
      </w:r>
    </w:p>
    <w:p w14:paraId="7A9D606E">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（四）住宅、商业、商务类建设工程超过建设工程规划许可证确定的建筑面积（计算容积率部分）或者建筑高度，且超出合理误差范围；</w:t>
      </w:r>
    </w:p>
    <w:p w14:paraId="1496D6CC">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（五）在已竣工验收的住宅、商业、商务类建设工程用地范围内或者利用住宅、商业、商务类建设工程擅自新建、搭建建筑物、构筑物；</w:t>
      </w:r>
    </w:p>
    <w:p w14:paraId="3F0AFCE7">
      <w:pPr>
        <w:ind w:firstLine="632" w:firstLineChars="200"/>
        <w:rPr>
          <w:rFonts w:ascii="Times New Roman" w:hAnsi="Times New Roman" w:cs="仿宋_GB2312"/>
          <w:sz w:val="32"/>
          <w:szCs w:val="32"/>
        </w:rPr>
      </w:pPr>
      <w:r>
        <w:rPr>
          <w:rFonts w:hint="eastAsia" w:ascii="Times New Roman" w:hAnsi="Times New Roman" w:cs="仿宋_GB2312"/>
          <w:sz w:val="32"/>
          <w:szCs w:val="32"/>
        </w:rPr>
        <w:t>（六）应当认定为无法采取改正措施消除影响的其他情形。</w:t>
      </w:r>
    </w:p>
    <w:p w14:paraId="1EEC510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前款第四项规定的合理误差范围的标准由省自然资源主管部门制定。</w:t>
      </w:r>
    </w:p>
    <w:p w14:paraId="37F878B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本条第一款规定的违法收入按照该建设工程的销售平均单价或者市场评估单价与违法建设面积的乘积确定；建设工程造价按照有违法建设情形的单项或者单体工程造价确定。</w:t>
      </w:r>
    </w:p>
    <w:p w14:paraId="2B6C97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未取得乡村建设规划许可证或者未按照乡村建设规划许可证的规定进行建设的，由乡镇人民政府、街道办事处责令停止建设，限期改正；对其中违法行为情节严重且违法行为人逾期不改正的，乡镇人民政府、街道办事处应当拆除。</w:t>
      </w:r>
    </w:p>
    <w:p w14:paraId="710F47C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前款规定的应当拆除的具体情形，由设区的市人民政府规定。</w:t>
      </w:r>
    </w:p>
    <w:p w14:paraId="6CB67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房屋所有权人、房屋使用权人擅自改变建设工程规划许可证确定的房屋用途的，由设区的市、县（市、区）自然资源主管部门责令限期改正，没收违法所得，对单位并处违法所得一倍以上二倍以下的罚款，没有违法所得或者违法所得不足五万元的，并处二万元以上五万元以下的罚款；对个人可以并处违法所得一倍以下的罚款。</w:t>
      </w:r>
    </w:p>
    <w:p w14:paraId="4E176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建设单位或者个人擅自改变临时规划许可确定的建筑用途的，由设区的市、县（市、区）自然资源主管部门责令限期改正，可以处临时建设工程造价一倍以下的罚款。</w:t>
      </w:r>
    </w:p>
    <w:p w14:paraId="2DA28A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建设单位或者个人未取得建设工程规划核实确认书组织建设工程竣工验收的，由设区的市、县（市、区）自然资源主管部门责令限期改正；逾期不改正的，处二万元以上二十万元以下的罚款。</w:t>
      </w:r>
    </w:p>
    <w:p w14:paraId="105DA1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对无法确定建设单位或者个人的违法建设项目，设区的市、县（市、区）自然资源主管部门应当在报纸等公共媒体和违法建设项目现场予以公告，告知建设单位或者个人依法接受处理，公告期限不少于三十日。公告期限届满仍无法确定建设单位或者个人的，设区的市、县（市、区）人民政府可以责成有关部门依法予以拆除或者没收。</w:t>
      </w:r>
    </w:p>
    <w:p w14:paraId="45709246">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无法确定建设单位或者个人的违法建设项目，不及时拆除影响安全、交通等的，可以在向公证机关办理证据保全手续后直接予以拆除。</w:t>
      </w:r>
    </w:p>
    <w:p w14:paraId="7DC38D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自然资源主管部门作出责令停止建设的决定后，当事人不停止建设的，自然资源主管部门应当立即向本级人民政府报告。设区的市、县（市、区）人民政府应当责成有关部门采取拆除继续建设部分、查封施工现场等措施。</w:t>
      </w:r>
    </w:p>
    <w:p w14:paraId="33AD04DD">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作出责令限期拆除的决定后，当事人逾期不拆除又在法定期限内不申请行政复议或者不提起行政诉讼的，自然资源主管部门应当自法定期限届满之日起十五日内向本级人民政府报告。设区的市、县（市、区）人民政府应当自收到报告之日起三十日内书面责成有关部门强制拆除。</w:t>
      </w:r>
    </w:p>
    <w:p w14:paraId="78E5BBEA">
      <w:pPr>
        <w:rPr>
          <w:rFonts w:ascii="Times New Roman" w:hAnsi="Times New Roman" w:eastAsia="宋体" w:cs="宋体"/>
          <w:szCs w:val="32"/>
        </w:rPr>
      </w:pPr>
    </w:p>
    <w:p w14:paraId="11E2673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8727EC0">
      <w:pPr>
        <w:rPr>
          <w:rFonts w:ascii="Times New Roman" w:hAnsi="Times New Roman" w:eastAsia="宋体" w:cs="宋体"/>
          <w:szCs w:val="32"/>
        </w:rPr>
      </w:pPr>
    </w:p>
    <w:p w14:paraId="3B2B3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办理建设工程规划许可、竣工规划核实手续时对建筑面积的计算，按照国家和省房产测量规范执行。</w:t>
      </w:r>
    </w:p>
    <w:p w14:paraId="71D1AB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本条例自2025年1月1日起施行。《浙江省土地利用总体规划条例》《浙江省城乡规划条例》同时废止。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D6D45"/>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15032</Words>
  <Characters>15040</Characters>
  <Lines>87</Lines>
  <Paragraphs>24</Paragraphs>
  <TotalTime>3</TotalTime>
  <ScaleCrop>false</ScaleCrop>
  <LinksUpToDate>false</LinksUpToDate>
  <CharactersWithSpaces>15160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2024-10-31T07:27:35Z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