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6C7B9E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重庆市船舶污染防治条例</w:t>
      </w:r>
    </w:p>
    <w:p w14:paraId="4B27B04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（2024年9月26日重庆市第六届人民代表大会常务委员会第十一次会议通过）</w:t>
      </w:r>
    </w:p>
    <w:p w14:paraId="38DDD9D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1724C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船舶污染防治</w:t>
      </w:r>
    </w:p>
    <w:p w14:paraId="529A82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船舶污染事故应急处置</w:t>
      </w:r>
    </w:p>
    <w:p w14:paraId="081A5F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区域协作</w:t>
      </w:r>
    </w:p>
    <w:p w14:paraId="3D3CD7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476940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3477FE9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D1E584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为了加强船舶污染防治，保护生态环境，推进生态文明建设，促进经济社会高质量发展，根据《中华人民共和国长江保护法》、《中华人民共和国水污染防治法》等法律、行政法规，结合本市实际，制定本条例。</w:t>
      </w:r>
    </w:p>
    <w:p w14:paraId="68A3EE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本市通航水域船舶航行、停泊、作业，以及从事船舶洗舱、修造、拆解、燃料供受、装卸、打捞等与水域环境有关的作业活动（以下统称有关作业活动），适用本条例。</w:t>
      </w:r>
    </w:p>
    <w:p w14:paraId="528EDF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船舶污染防治应当坚持预防为主、防治结合、统筹协调、综合治理原则，加强源头控制和系统整治，推进绿色航运发展。</w:t>
      </w:r>
    </w:p>
    <w:p w14:paraId="1CB032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市、区县（自治县）人民政府应当将船舶污染防治纳入生态环境保护规划，并按照财政事权与支出责任划分相匹配的原则，将所需经费纳入同级财政预算。</w:t>
      </w:r>
    </w:p>
    <w:p w14:paraId="5EB501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国务院交通运输主管部门在本市设立的海事管理机构（以下简称海事管理机构）和交通运输主管部门按照职责分工，对船舶污染防治实施监督管理。</w:t>
      </w:r>
    </w:p>
    <w:p w14:paraId="658D412E">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发展改革、经济信息、生态环境、住房城乡建设、城市管理、应急管理等部门，按照各自职责做好船舶污染防治相关工作。</w:t>
      </w:r>
    </w:p>
    <w:p w14:paraId="3D9E20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船舶所有人、经营人、管理人以及有关作业活动单位，应当建立健全船舶污染防治责任制度，采取有效措施，防止造成环境污染。</w:t>
      </w:r>
    </w:p>
    <w:p w14:paraId="35E2A908">
      <w:pPr>
        <w:ind w:firstLine="632" w:firstLineChars="200"/>
        <w:rPr>
          <w:rFonts w:ascii="Times New Roman" w:hAnsi="Times New Roman" w:cs="仿宋_GB2312"/>
          <w:sz w:val="32"/>
          <w:szCs w:val="32"/>
        </w:rPr>
      </w:pPr>
      <w:r>
        <w:rPr>
          <w:rFonts w:hint="eastAsia" w:ascii="Times New Roman" w:hAnsi="Times New Roman" w:cs="仿宋_GB2312"/>
          <w:sz w:val="32"/>
          <w:szCs w:val="32"/>
        </w:rPr>
        <w:t>港口、码头、装卸站、水上服务区以及有关作业活动单位应当按照国家有关规范和标准，配备相应的船舶污染防治设施、设备和器材，并定期维护保养、检测，确保技术状态良好。</w:t>
      </w:r>
    </w:p>
    <w:p w14:paraId="4E717F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海事管理机构、交通运输主管部门和有关部门应当加强船舶污染防治的宣传教育，增强全社会船舶污染防治意识。</w:t>
      </w:r>
    </w:p>
    <w:p w14:paraId="7C7A9184">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任何单位和个人有权对船舶以及相关作业活动污染环境的行为进行举报。海事管理机构、交通运输主管部门和有关部门</w:t>
      </w:r>
      <w:bookmarkStart w:id="0" w:name="_GoBack"/>
      <w:bookmarkEnd w:id="0"/>
      <w:r>
        <w:rPr>
          <w:rFonts w:hint="eastAsia" w:ascii="Times New Roman" w:hAnsi="Times New Roman" w:cs="仿宋_GB2312"/>
          <w:sz w:val="32"/>
          <w:szCs w:val="32"/>
        </w:rPr>
        <w:t>应当依法对举报进行调查处理，并对举报人信息保密。</w:t>
      </w:r>
    </w:p>
    <w:p w14:paraId="0B6D4A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本市可以划定特定水域为绿色航运示范区，实施更加严格的船舶污染防治措施，推进新能源、清洁能源船舶配套基础设施的规划建设。</w:t>
      </w:r>
    </w:p>
    <w:p w14:paraId="74D38473">
      <w:pPr>
        <w:rPr>
          <w:rFonts w:ascii="Times New Roman" w:hAnsi="Times New Roman" w:eastAsia="宋体" w:cs="宋体"/>
          <w:szCs w:val="32"/>
        </w:rPr>
      </w:pPr>
    </w:p>
    <w:p w14:paraId="429004E8">
      <w:pPr>
        <w:jc w:val="center"/>
        <w:rPr>
          <w:rFonts w:ascii="Times New Roman" w:hAnsi="Times New Roman" w:eastAsia="黑体" w:cs="黑体"/>
          <w:szCs w:val="32"/>
        </w:rPr>
      </w:pPr>
      <w:r>
        <w:rPr>
          <w:rFonts w:hint="eastAsia" w:ascii="Times New Roman" w:hAnsi="Times New Roman" w:eastAsia="黑体" w:cs="黑体"/>
          <w:szCs w:val="32"/>
        </w:rPr>
        <w:t>第二章　船舶污染防治</w:t>
      </w:r>
    </w:p>
    <w:p w14:paraId="65265E33">
      <w:pPr>
        <w:rPr>
          <w:rFonts w:ascii="Times New Roman" w:hAnsi="Times New Roman" w:eastAsia="宋体" w:cs="宋体"/>
          <w:szCs w:val="32"/>
        </w:rPr>
      </w:pPr>
    </w:p>
    <w:p w14:paraId="32F38C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船舶水污染防治实行船上储存、交岸接收处置的原则。</w:t>
      </w:r>
    </w:p>
    <w:p w14:paraId="22D7266B">
      <w:pPr>
        <w:ind w:firstLine="632" w:firstLineChars="200"/>
        <w:rPr>
          <w:rFonts w:ascii="Times New Roman" w:hAnsi="Times New Roman" w:cs="仿宋_GB2312"/>
          <w:sz w:val="32"/>
          <w:szCs w:val="32"/>
        </w:rPr>
      </w:pPr>
      <w:r>
        <w:rPr>
          <w:rFonts w:hint="eastAsia" w:ascii="Times New Roman" w:hAnsi="Times New Roman" w:cs="仿宋_GB2312"/>
          <w:sz w:val="32"/>
          <w:szCs w:val="32"/>
        </w:rPr>
        <w:t>船舶应当将船舶垃圾、生活污水、含油污水、残油、废油等船舶水污染物按照国家和本市有关规定收集、储存，并交由港口、码头、装卸站、水上服务区或者其他水污染物接收单位依法处理，禁止向水体排放。</w:t>
      </w:r>
    </w:p>
    <w:p w14:paraId="3C77A05E">
      <w:pPr>
        <w:ind w:firstLine="632" w:firstLineChars="200"/>
        <w:rPr>
          <w:rFonts w:ascii="Times New Roman" w:hAnsi="Times New Roman" w:cs="仿宋_GB2312"/>
          <w:sz w:val="32"/>
          <w:szCs w:val="32"/>
        </w:rPr>
      </w:pPr>
      <w:r>
        <w:rPr>
          <w:rFonts w:hint="eastAsia" w:ascii="Times New Roman" w:hAnsi="Times New Roman" w:cs="仿宋_GB2312"/>
          <w:sz w:val="32"/>
          <w:szCs w:val="32"/>
        </w:rPr>
        <w:t>除标准排岸管路外，船舶不得设置通往舷外的污水排放管路，已有的排放管路应当拆除、盲断或者铅封阀门。</w:t>
      </w:r>
    </w:p>
    <w:p w14:paraId="2CB0A7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市、区县（自治县）人民政府应当统筹规划建设船舶水污染物接收、转运和处置设施，并定期评估。</w:t>
      </w:r>
    </w:p>
    <w:p w14:paraId="2EDF1038">
      <w:pPr>
        <w:ind w:firstLine="632" w:firstLineChars="200"/>
        <w:rPr>
          <w:rFonts w:ascii="Times New Roman" w:hAnsi="Times New Roman" w:cs="仿宋_GB2312"/>
          <w:sz w:val="32"/>
          <w:szCs w:val="32"/>
        </w:rPr>
      </w:pPr>
      <w:r>
        <w:rPr>
          <w:rFonts w:hint="eastAsia" w:ascii="Times New Roman" w:hAnsi="Times New Roman" w:cs="仿宋_GB2312"/>
          <w:sz w:val="32"/>
          <w:szCs w:val="32"/>
        </w:rPr>
        <w:t>港口、码头、装卸站、水上服务区应当按照规定配置船舶水污染物接收设施，接收靠泊船舶交付的船舶水污染物，并做好与城市公共转运、处置设施的衔接。</w:t>
      </w:r>
    </w:p>
    <w:p w14:paraId="0197D299">
      <w:pPr>
        <w:ind w:firstLine="632" w:firstLineChars="200"/>
        <w:rPr>
          <w:rFonts w:ascii="Times New Roman" w:hAnsi="Times New Roman" w:cs="仿宋_GB2312"/>
          <w:sz w:val="32"/>
          <w:szCs w:val="32"/>
        </w:rPr>
      </w:pPr>
      <w:r>
        <w:rPr>
          <w:rFonts w:hint="eastAsia" w:ascii="Times New Roman" w:hAnsi="Times New Roman" w:cs="仿宋_GB2312"/>
          <w:sz w:val="32"/>
          <w:szCs w:val="32"/>
        </w:rPr>
        <w:t>停泊在锚地、停泊区等公共水域船舶的水污染物接收、转运，由所在地区县（自治县）人民政府负责协调解决。</w:t>
      </w:r>
    </w:p>
    <w:p w14:paraId="12D147E7">
      <w:pPr>
        <w:ind w:firstLine="632" w:firstLineChars="200"/>
        <w:rPr>
          <w:rFonts w:ascii="Times New Roman" w:hAnsi="Times New Roman" w:cs="仿宋_GB2312"/>
          <w:sz w:val="32"/>
          <w:szCs w:val="32"/>
        </w:rPr>
      </w:pPr>
      <w:r>
        <w:rPr>
          <w:rFonts w:hint="eastAsia" w:ascii="Times New Roman" w:hAnsi="Times New Roman" w:cs="仿宋_GB2312"/>
          <w:sz w:val="32"/>
          <w:szCs w:val="32"/>
        </w:rPr>
        <w:t>对港口、码头、装卸站、水上服务区或者其他污染物接收单位拒不接收船舶交付水污染物的，船舶应当及时报告所在地交通运输主管部门。</w:t>
      </w:r>
    </w:p>
    <w:p w14:paraId="2A61A4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港口、码头、装卸站、水上服务区或者其他水污染物接收单位应当免费接收船舶生活垃圾。</w:t>
      </w:r>
    </w:p>
    <w:p w14:paraId="5549AE8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鼓励港口、码头、装卸站、水上服务区或者其他水污染物接收单位减收或者免收船舶生活污水、含油污水等其他水污染物接收费用。</w:t>
      </w:r>
    </w:p>
    <w:p w14:paraId="72038AF1">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市、区县（自治县）人民政府根据实际情况，对接收、转运、处置船舶水污染物的费用予以资金支持或者政策扶持，相关办法由市人民政府另行制定。</w:t>
      </w:r>
    </w:p>
    <w:p w14:paraId="2BBB0C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海事管理机构和生态环境、住房城乡建设、城市管理、交通运输等部门应当对船舶水污染物交付、接收、转运和处置实施联合监管，定期开展联合检查。</w:t>
      </w:r>
    </w:p>
    <w:p w14:paraId="1F01AC9F">
      <w:pPr>
        <w:ind w:firstLine="632" w:firstLineChars="200"/>
        <w:rPr>
          <w:rFonts w:ascii="Times New Roman" w:hAnsi="Times New Roman" w:cs="仿宋_GB2312"/>
          <w:sz w:val="32"/>
          <w:szCs w:val="32"/>
        </w:rPr>
      </w:pPr>
      <w:r>
        <w:rPr>
          <w:rFonts w:hint="eastAsia" w:ascii="Times New Roman" w:hAnsi="Times New Roman" w:cs="仿宋_GB2312"/>
          <w:sz w:val="32"/>
          <w:szCs w:val="32"/>
        </w:rPr>
        <w:t>海事管理机构依法负责长江干线船舶水污染物的交付以及在水上接收、转运的监督管理。</w:t>
      </w:r>
    </w:p>
    <w:p w14:paraId="3D0BDADC">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交通运输主管部门依法负责除长江干线以外通航水域船舶水污染物的交付以及在水上接收、转运的监督管理；依法负责港口、码头、装卸站、水上服务区配置船舶水污染物接收设施以及履行接收责任的监督管理。</w:t>
      </w:r>
    </w:p>
    <w:p w14:paraId="273739CE">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生态环境主管部门依法负责船舶产生的危险废物在岸上规范贮存、转移、利用、处置的监督管理。</w:t>
      </w:r>
    </w:p>
    <w:p w14:paraId="13D1C0EC">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城市管理主管部门依法负责船舶生活垃圾在岸上转运、处置的监督管理。</w:t>
      </w:r>
    </w:p>
    <w:p w14:paraId="3950D337">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城镇排水主管部门依法负责排入码头市政污水管网或者城镇生活污水处理厂的船舶生活污水处置的监督管理。</w:t>
      </w:r>
    </w:p>
    <w:p w14:paraId="40D2F0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本市船舶水污染物的交付、接收、转运和处置实行电子联单管理。船舶水污染物的交付、接收、转运、处置单位应当使用规定的监督管理信息系统，准确计量并如实记录船舶水污染物的交付、接收、转运和处置情况。</w:t>
      </w:r>
    </w:p>
    <w:p w14:paraId="4B92EF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具备岸电供应条件的港口、码头、装卸站、水上服务区应当向具备岸电使用条件的船舶提供岸电，具备岸电使用条件的船舶靠泊应当按照国家有关规定使用岸电，国家另有规定的除外。</w:t>
      </w:r>
    </w:p>
    <w:p w14:paraId="4BF3AE5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鼓励港口、码头、装卸站、水上服务区对使用岸电的船舶实施减免岸电使用服务费等措施，运用信息化手段提高岸电服务水平。</w:t>
      </w:r>
    </w:p>
    <w:p w14:paraId="69FE1F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船舶尾气排放应当符合国家和本市有关规定。</w:t>
      </w:r>
    </w:p>
    <w:p w14:paraId="60850FB6">
      <w:pPr>
        <w:ind w:firstLine="632" w:firstLineChars="200"/>
        <w:rPr>
          <w:rFonts w:ascii="Times New Roman" w:hAnsi="Times New Roman" w:cs="仿宋_GB2312"/>
          <w:sz w:val="32"/>
          <w:szCs w:val="32"/>
        </w:rPr>
      </w:pPr>
      <w:r>
        <w:rPr>
          <w:rFonts w:hint="eastAsia" w:ascii="Times New Roman" w:hAnsi="Times New Roman" w:cs="仿宋_GB2312"/>
          <w:sz w:val="32"/>
          <w:szCs w:val="32"/>
        </w:rPr>
        <w:t>船舶使用的燃料应当符合有关法律法规和标准要求，鼓励船舶使用新能源、清洁能源、船载蓄电装置或者采用尾气后处理等替代措施，减少大气污染。</w:t>
      </w:r>
    </w:p>
    <w:p w14:paraId="5C66C8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船舶航行、停泊、作业，以及从事有关作业活动，排放噪声应当符合国家规定。</w:t>
      </w:r>
    </w:p>
    <w:p w14:paraId="4E8BB71B">
      <w:pPr>
        <w:ind w:firstLine="632" w:firstLineChars="200"/>
        <w:rPr>
          <w:rFonts w:ascii="Times New Roman" w:hAnsi="Times New Roman" w:cs="仿宋_GB2312"/>
          <w:sz w:val="32"/>
          <w:szCs w:val="32"/>
        </w:rPr>
      </w:pPr>
      <w:r>
        <w:rPr>
          <w:rFonts w:hint="eastAsia" w:ascii="Times New Roman" w:hAnsi="Times New Roman" w:cs="仿宋_GB2312"/>
          <w:sz w:val="32"/>
          <w:szCs w:val="32"/>
        </w:rPr>
        <w:t>船舶在城市市区航行、停泊、作业时，禁止试鸣声号，在视线良好时不得鸣放声号。但是，危及航行安全和按照避碰规则等有关规定应当使用的除外。</w:t>
      </w:r>
    </w:p>
    <w:p w14:paraId="1C7F72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船舶应当按照有关规定收集和报告船舶能耗数据，并对数据的完整性、真实性、准确性负责。</w:t>
      </w:r>
    </w:p>
    <w:p w14:paraId="1B425D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有关作业活动单位应当配备必要的设施设备和人员，遵守相关操作规程，按照规定处理作业过程中产生的污染物。从事有关作业活动的人员，应当具备相关安全和污染防治的专业知识和技能。</w:t>
      </w:r>
    </w:p>
    <w:p w14:paraId="04E1AA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载运散装液体危险货物的船舶卸货完毕后，除国家规定可以免于清洗的情形外，应当在符合国家标准的码头、专用锚地、洗舱站点等对货物处所进行清洗，洗舱水应当交付具备法定条件的单位接收处理。</w:t>
      </w:r>
    </w:p>
    <w:p w14:paraId="3F14FF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船舶修造、拆解作业活动中产生的污染物应当依法处置。</w:t>
      </w:r>
    </w:p>
    <w:p w14:paraId="49092B5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禁止采取冲滩方式进行船舶拆解作业。</w:t>
      </w:r>
    </w:p>
    <w:p w14:paraId="597CA3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从事船舶燃料供受作业，双方应当在作业前对相关防污染措施进行确认，按照规定填写防污染检查表，并在作业过程中严格落实防污染措施。</w:t>
      </w:r>
    </w:p>
    <w:p w14:paraId="335372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船舶打捞作业单位应当按照作业方案，采取封堵透气孔、抽取污染物、布设围油栏等措施，防止打捞作业污染水域环境。</w:t>
      </w:r>
    </w:p>
    <w:p w14:paraId="1734FE46">
      <w:pPr>
        <w:rPr>
          <w:rFonts w:ascii="Times New Roman" w:hAnsi="Times New Roman" w:eastAsia="宋体" w:cs="宋体"/>
          <w:szCs w:val="32"/>
        </w:rPr>
      </w:pPr>
    </w:p>
    <w:p w14:paraId="5672C7EF">
      <w:pPr>
        <w:jc w:val="center"/>
        <w:rPr>
          <w:rFonts w:ascii="Times New Roman" w:hAnsi="Times New Roman" w:eastAsia="黑体" w:cs="黑体"/>
          <w:szCs w:val="32"/>
        </w:rPr>
      </w:pPr>
      <w:r>
        <w:rPr>
          <w:rFonts w:hint="eastAsia" w:ascii="Times New Roman" w:hAnsi="Times New Roman" w:eastAsia="黑体" w:cs="黑体"/>
          <w:szCs w:val="32"/>
        </w:rPr>
        <w:t>第三章　船舶污染事故应急处置</w:t>
      </w:r>
    </w:p>
    <w:p w14:paraId="38AFA258">
      <w:pPr>
        <w:rPr>
          <w:rFonts w:ascii="Times New Roman" w:hAnsi="Times New Roman" w:eastAsia="宋体" w:cs="宋体"/>
          <w:szCs w:val="32"/>
        </w:rPr>
      </w:pPr>
    </w:p>
    <w:p w14:paraId="633CB7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市、区县（自治县）人民政府应当将船舶以及有关作业活动污染防治纳入应急管理体系，加强船舶污染事故应急能力建设。</w:t>
      </w:r>
    </w:p>
    <w:p w14:paraId="1F5849E5">
      <w:pPr>
        <w:ind w:firstLine="632" w:firstLineChars="200"/>
        <w:rPr>
          <w:rFonts w:ascii="Times New Roman" w:hAnsi="Times New Roman" w:cs="仿宋_GB2312"/>
          <w:sz w:val="32"/>
          <w:szCs w:val="32"/>
        </w:rPr>
      </w:pPr>
      <w:r>
        <w:rPr>
          <w:rFonts w:hint="eastAsia" w:ascii="Times New Roman" w:hAnsi="Times New Roman" w:cs="仿宋_GB2312"/>
          <w:sz w:val="32"/>
          <w:szCs w:val="32"/>
        </w:rPr>
        <w:t>海事管理机构、交通运输主管部门和有关部门应当按照国家有关规定编制船舶污染事故应急预案，加强信息共享、协作联动，提升污染事故应急处置能力。</w:t>
      </w:r>
    </w:p>
    <w:p w14:paraId="394C8B38">
      <w:pPr>
        <w:ind w:firstLine="632" w:firstLineChars="200"/>
        <w:rPr>
          <w:rFonts w:ascii="Times New Roman" w:hAnsi="Times New Roman" w:cs="仿宋_GB2312"/>
          <w:sz w:val="32"/>
          <w:szCs w:val="32"/>
        </w:rPr>
      </w:pPr>
      <w:r>
        <w:rPr>
          <w:rFonts w:hint="eastAsia" w:ascii="Times New Roman" w:hAnsi="Times New Roman" w:cs="仿宋_GB2312"/>
          <w:sz w:val="32"/>
          <w:szCs w:val="32"/>
        </w:rPr>
        <w:t>港口、码头、装卸站、水上服务区、船舶以及有关作业活动单位应当制定防治船舶及其作业活动污染水域环境的应急预案，配备必要的应急救援设备、设施，并定期组织演练。</w:t>
      </w:r>
    </w:p>
    <w:p w14:paraId="7C8355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船舶造成或者可能造成水污染事故的，应当立即启动应急预案，采取措施控制和消除对环境的污染危害，并按照规定向海事管理机构或者交通运输主管部门报告。</w:t>
      </w:r>
    </w:p>
    <w:p w14:paraId="308D41D0">
      <w:pPr>
        <w:ind w:firstLine="632" w:firstLineChars="200"/>
        <w:rPr>
          <w:rFonts w:ascii="Times New Roman" w:hAnsi="Times New Roman" w:cs="仿宋_GB2312"/>
          <w:sz w:val="32"/>
          <w:szCs w:val="32"/>
        </w:rPr>
      </w:pPr>
      <w:r>
        <w:rPr>
          <w:rFonts w:hint="eastAsia" w:ascii="Times New Roman" w:hAnsi="Times New Roman" w:cs="仿宋_GB2312"/>
          <w:sz w:val="32"/>
          <w:szCs w:val="32"/>
        </w:rPr>
        <w:t>海事管理机构或者交通运输主管部门接到报告后，应当立即核实有关情况，依法进行调查处理，并按照规定报告上级主管部门和同级人民政府。</w:t>
      </w:r>
    </w:p>
    <w:p w14:paraId="7926D8C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有关区县（自治县）生态环境主管部门应当及时对事故发生地及其周边水域、下游饮用水水源地水质组织开展监测，并将监测结果通报事发地海事管理机构或者交通运输主管部门。</w:t>
      </w:r>
    </w:p>
    <w:p w14:paraId="60267E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区县（自治县）人民政府可以根据船舶污染事故应急处置的需要，组织社会力量参与应急处置。依法征用有关单位和个人的船舶、污染防治设施、设备、器材以及其他物资的，在使用完毕或者应急处置工作结束后，应当及时返还。财产被征用或者征用后毁损、灭失的，应当给予补偿。</w:t>
      </w:r>
    </w:p>
    <w:p w14:paraId="668611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船舶发生事故，造成或者可能造成水域污染的，船舶所有人或者经营人应当及时消除污染影响。不能及时消除污染影响的，海事管理机构或者交通运输主管部门可以采取清除、打捞、拖航、引航、过驳等必要措施。发生的费用，依法由事故责任者承担。</w:t>
      </w:r>
    </w:p>
    <w:p w14:paraId="74C38C34">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依法应当承担前款规定费用的船舶及其所有人或者经营人，应当在开航前缴清相关费用或者提供相应的财务担保。</w:t>
      </w:r>
    </w:p>
    <w:p w14:paraId="399A1934">
      <w:pPr>
        <w:rPr>
          <w:rFonts w:ascii="Times New Roman" w:hAnsi="Times New Roman" w:eastAsia="宋体" w:cs="宋体"/>
          <w:szCs w:val="32"/>
        </w:rPr>
      </w:pPr>
    </w:p>
    <w:p w14:paraId="4D5043E9">
      <w:pPr>
        <w:jc w:val="center"/>
        <w:rPr>
          <w:rFonts w:ascii="Times New Roman" w:hAnsi="Times New Roman" w:eastAsia="黑体" w:cs="黑体"/>
          <w:szCs w:val="32"/>
        </w:rPr>
      </w:pPr>
      <w:r>
        <w:rPr>
          <w:rFonts w:hint="eastAsia" w:ascii="Times New Roman" w:hAnsi="Times New Roman" w:eastAsia="黑体" w:cs="黑体"/>
          <w:szCs w:val="32"/>
        </w:rPr>
        <w:t>第四章　区域协作</w:t>
      </w:r>
    </w:p>
    <w:p w14:paraId="09A9B31A">
      <w:pPr>
        <w:rPr>
          <w:rFonts w:ascii="Times New Roman" w:hAnsi="Times New Roman" w:eastAsia="宋体" w:cs="宋体"/>
          <w:szCs w:val="32"/>
        </w:rPr>
      </w:pPr>
    </w:p>
    <w:p w14:paraId="457D44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本市建立与毗邻省船舶污染防治协作机制，协商解决船舶污染防治重大事项，促进省际船舶污染防治联防联控。</w:t>
      </w:r>
    </w:p>
    <w:p w14:paraId="5107DF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海事管理机构、交通运输主管部门和有关部门加强与毗邻省有关部门的船舶污染防治执法协作，建立行政执法互助、案件移送、行刑衔接等联动机制。</w:t>
      </w:r>
    </w:p>
    <w:p w14:paraId="44B16E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海事管理机构、交通运输主管部门推进与毗邻省有关部门建立船舶污染防治应急协作机制，开展区域联合演练，提升协同快速反应和应急处置能力。</w:t>
      </w:r>
    </w:p>
    <w:p w14:paraId="0F6ECF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海事管理机构、交通运输主管部门和有关部门加强与毗邻省有关部门协商，共享以下信息：</w:t>
      </w:r>
    </w:p>
    <w:p w14:paraId="4FA490E7">
      <w:pPr>
        <w:ind w:firstLine="632" w:firstLineChars="200"/>
        <w:rPr>
          <w:rFonts w:ascii="Times New Roman" w:hAnsi="Times New Roman" w:cs="仿宋_GB2312"/>
          <w:sz w:val="32"/>
          <w:szCs w:val="32"/>
        </w:rPr>
      </w:pPr>
      <w:r>
        <w:rPr>
          <w:rFonts w:hint="eastAsia" w:ascii="Times New Roman" w:hAnsi="Times New Roman" w:cs="仿宋_GB2312"/>
          <w:sz w:val="32"/>
          <w:szCs w:val="32"/>
        </w:rPr>
        <w:t>（一）船舶污染监测预警信息；</w:t>
      </w:r>
    </w:p>
    <w:p w14:paraId="4FC696A3">
      <w:pPr>
        <w:ind w:firstLine="632" w:firstLineChars="200"/>
        <w:rPr>
          <w:rFonts w:ascii="Times New Roman" w:hAnsi="Times New Roman" w:cs="仿宋_GB2312"/>
          <w:sz w:val="32"/>
          <w:szCs w:val="32"/>
        </w:rPr>
      </w:pPr>
      <w:r>
        <w:rPr>
          <w:rFonts w:hint="eastAsia" w:ascii="Times New Roman" w:hAnsi="Times New Roman" w:cs="仿宋_GB2312"/>
          <w:sz w:val="32"/>
          <w:szCs w:val="32"/>
        </w:rPr>
        <w:t>（二）船舶水污染物跨区域接收、转运、处置信息；</w:t>
      </w:r>
    </w:p>
    <w:p w14:paraId="554D4096">
      <w:pPr>
        <w:ind w:firstLine="632" w:firstLineChars="200"/>
        <w:rPr>
          <w:rFonts w:ascii="Times New Roman" w:hAnsi="Times New Roman" w:cs="仿宋_GB2312"/>
          <w:sz w:val="32"/>
          <w:szCs w:val="32"/>
        </w:rPr>
      </w:pPr>
      <w:r>
        <w:rPr>
          <w:rFonts w:hint="eastAsia" w:ascii="Times New Roman" w:hAnsi="Times New Roman" w:cs="仿宋_GB2312"/>
          <w:sz w:val="32"/>
          <w:szCs w:val="32"/>
        </w:rPr>
        <w:t>（三）船舶污染事故处置信息；</w:t>
      </w:r>
    </w:p>
    <w:p w14:paraId="4872B67F">
      <w:pPr>
        <w:ind w:firstLine="632" w:firstLineChars="200"/>
        <w:rPr>
          <w:rFonts w:ascii="Times New Roman" w:hAnsi="Times New Roman" w:cs="仿宋_GB2312"/>
          <w:sz w:val="32"/>
          <w:szCs w:val="32"/>
        </w:rPr>
      </w:pPr>
      <w:r>
        <w:rPr>
          <w:rFonts w:hint="eastAsia" w:ascii="Times New Roman" w:hAnsi="Times New Roman" w:cs="仿宋_GB2312"/>
          <w:sz w:val="32"/>
          <w:szCs w:val="32"/>
        </w:rPr>
        <w:t>（四）船舶污染防治信用信息；</w:t>
      </w:r>
    </w:p>
    <w:p w14:paraId="716883C1">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（五）其他需要共享的信息。</w:t>
      </w:r>
    </w:p>
    <w:p w14:paraId="2FD768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有关区县（自治县）人民政府应当建立跨区域船舶污染防治协作机制，协同开展跨区域船舶污染防治工作，实施联合监测、共同治理、联合执法、信息共享，并根据需要开展联合应急救援行动。</w:t>
      </w:r>
    </w:p>
    <w:p w14:paraId="229092EC">
      <w:pPr>
        <w:rPr>
          <w:rFonts w:ascii="Times New Roman" w:hAnsi="Times New Roman" w:eastAsia="宋体" w:cs="宋体"/>
          <w:szCs w:val="32"/>
        </w:rPr>
      </w:pPr>
    </w:p>
    <w:p w14:paraId="0642BD06">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59ACCA3D">
      <w:pPr>
        <w:rPr>
          <w:rFonts w:ascii="Times New Roman" w:hAnsi="Times New Roman" w:eastAsia="宋体" w:cs="宋体"/>
          <w:szCs w:val="32"/>
        </w:rPr>
      </w:pPr>
    </w:p>
    <w:p w14:paraId="509723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违反本条例规定，船舶通往舷外的污水排放管路未拆除、盲断或者阀门未铅封的，由海事管理机构、交通运输主管部门按照职责分工，责令限期改正；逾期不改正的，处一千元以上一万元以下的罚款。</w:t>
      </w:r>
    </w:p>
    <w:p w14:paraId="289986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违反本条例规定，港口、码头、装卸站、水上服务区拒绝接收靠泊船舶交付的船舶水污染物的，由交通运输主管部门责令改正，处五千元以上三万元以下的罚款。</w:t>
      </w:r>
    </w:p>
    <w:p w14:paraId="538374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违反本条例规定，具备岸电供应条件的港口、码头、装卸站、水上服务区未按照规定提供岸电的，由交通运输主管部门责令改正；拒不改正的，处二万元以上十万元以下的罚款。</w:t>
      </w:r>
    </w:p>
    <w:p w14:paraId="67C269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违反本条例规定，载运散装液体危险货物的船舶卸货完毕后未按照规定对货物处所进行清洗的，由海事管理机构、交通运输主管部门按照职责分工，责令改正，处五万元以上十万元以下的罚款。</w:t>
      </w:r>
    </w:p>
    <w:p w14:paraId="42AD5241">
      <w:pPr>
        <w:rPr>
          <w:rFonts w:ascii="Times New Roman" w:hAnsi="Times New Roman" w:eastAsia="宋体" w:cs="宋体"/>
          <w:szCs w:val="32"/>
        </w:rPr>
      </w:pPr>
    </w:p>
    <w:p w14:paraId="49F343BF">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9296388">
      <w:pPr>
        <w:rPr>
          <w:rFonts w:ascii="Times New Roman" w:hAnsi="Times New Roman" w:eastAsia="宋体" w:cs="宋体"/>
          <w:szCs w:val="32"/>
        </w:rPr>
      </w:pPr>
    </w:p>
    <w:p w14:paraId="1E8953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本条例中下列用语的含义：</w:t>
      </w:r>
    </w:p>
    <w:p w14:paraId="01979A8A">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（一）通航水域，是指由海事管理机构或者交通运输主管部门认定的可供船舶航行的江、河、湖泊、水库等水域。</w:t>
      </w:r>
    </w:p>
    <w:p w14:paraId="3787BB33">
      <w:pPr>
        <w:ind w:firstLine="632" w:firstLineChars="200"/>
        <w:rPr>
          <w:rFonts w:ascii="Times New Roman" w:hAnsi="Times New Roman" w:cs="仿宋_GB2312"/>
          <w:sz w:val="32"/>
          <w:szCs w:val="32"/>
        </w:rPr>
      </w:pPr>
      <w:r>
        <w:rPr>
          <w:rFonts w:hint="eastAsia" w:ascii="Times New Roman" w:hAnsi="Times New Roman" w:cs="仿宋_GB2312"/>
          <w:sz w:val="32"/>
          <w:szCs w:val="32"/>
        </w:rPr>
        <w:t>（二）冲滩，是指船舶依靠自身动力或者借助潮差或者外力，冲上滩地搁置。</w:t>
      </w:r>
    </w:p>
    <w:p w14:paraId="6723F6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军事船舶、体育运动船舶、渔业船舶、乡镇自用船舶污染防治工作，按照国家有关规定执行。</w:t>
      </w:r>
    </w:p>
    <w:p w14:paraId="33B3A2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ED93E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4244</Words>
  <Characters>4251</Characters>
  <Lines>87</Lines>
  <Paragraphs>24</Paragraphs>
  <TotalTime>12</TotalTime>
  <ScaleCrop>false</ScaleCrop>
  <LinksUpToDate>false</LinksUpToDate>
  <CharactersWithSpaces>4311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2024-11-25T03:17:34Z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FD4DAB1BBAF5466BA333AB19A76BF3C6_13</vt:lpwstr>
  </property>
  <property fmtid="{D5CDD505-2E9C-101B-9397-08002B2CF9AE}" pid="3" name="KSOProductBuildVer">
    <vt:lpwstr>2052-12.1.0.18912</vt:lpwstr>
  </property>
</Properties>
</file>