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5BD616E">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贵州省节约用水条例</w:t>
      </w:r>
    </w:p>
    <w:p w14:paraId="63260760">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（2020年3月6日贵州省第十三届人民代表大会常务委员会第十六次会议通过　根据2024年9月25日贵州省第十四届人民代表大会常务委员会第十二次会议通过的《贵州省人民代表大会常务委员会关于修改〈贵州省保健用品管理条例〉等地方性法规部分条款的决定》修正）</w:t>
      </w:r>
    </w:p>
    <w:p w14:paraId="6ECDD888">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03613EA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节约用水管理</w:t>
      </w:r>
    </w:p>
    <w:p w14:paraId="63C65A1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节约用水措施</w:t>
      </w:r>
    </w:p>
    <w:p w14:paraId="2E5F0BE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节约用水保障</w:t>
      </w:r>
    </w:p>
    <w:p w14:paraId="0EA359B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法律责任</w:t>
      </w:r>
    </w:p>
    <w:p w14:paraId="0CD60BC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附　　则</w:t>
      </w:r>
    </w:p>
    <w:p w14:paraId="1C34E858">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5F78EC2D">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为了珍惜水资源，节约用水，提高用水效率，促进经济社会可持续发展，根据《中华人民共和国水法》和有关法律、法规的规定，结合本省实际，制定本条例。</w:t>
      </w:r>
    </w:p>
    <w:p w14:paraId="3CCDEB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本条例适用于本省行政区域内的节约用水及其监督管理等活动。</w:t>
      </w:r>
    </w:p>
    <w:p w14:paraId="0D731D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节约用水坚持节水优先、统一规划、总量控制、合理配置、高效利用的原则，建立政府主导、部门协同、市场调节、公众参与的节约用水机制。</w:t>
      </w:r>
    </w:p>
    <w:p w14:paraId="4113A6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县级以上人民政府应当将节约用水纳入国民经济和社会发展规划，发展节水型工业、农业和服务业，加强节约用水管理，建立节约用水目标责任考核制度，建设节水型社会。</w:t>
      </w:r>
    </w:p>
    <w:p w14:paraId="60D71176">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乡镇人民政府、街道办事处协助开展节约用水工作。</w:t>
      </w:r>
    </w:p>
    <w:p w14:paraId="0F861541">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鼓励村民委员会、居民委员会制定村规民约和居民公约，引导村民、居民节约用水。</w:t>
      </w:r>
    </w:p>
    <w:p w14:paraId="7553C0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省人民政府水行政主管部门负责全省节约用水工作，组织编制节约用水规划并监督实施，组织制定节约用水标准，指导和推动节水型社会建设。</w:t>
      </w:r>
    </w:p>
    <w:p w14:paraId="5BB2A256">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省人民政府发展和改革部门负责节约用水规划、指标与国民经济和社会发展规划的协调衔接，建立健全有利于促进节约用水的价格机制。</w:t>
      </w:r>
    </w:p>
    <w:p w14:paraId="7B94DAA1">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省人民政府住房和城乡建设主管部门负责指导城镇节约用水工作，制定城市建设和市政公用事业方面的节水制度、办法和标准，推进节水型城市建设。</w:t>
      </w:r>
    </w:p>
    <w:p w14:paraId="1EFEB584">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省人民政府工业和信息化主管部门负责指导工业节约用水工作，推广使用节水技术、设备和工艺。</w:t>
      </w:r>
    </w:p>
    <w:p w14:paraId="730A0E23">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省人民政府农业农村主管部门负责指导农业节约用水工作和开展高效节水灌溉建设，推广先进农业节水技术。</w:t>
      </w:r>
    </w:p>
    <w:p w14:paraId="1BCFE09D">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省人民政府教育主管部门负责大学、中学、小学学生节约用水教育，提高节约用水意识。</w:t>
      </w:r>
    </w:p>
    <w:p w14:paraId="0AC14CB2">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省人民政府机关事务主管部门负责指导公共机构节约用水工作。</w:t>
      </w:r>
    </w:p>
    <w:p w14:paraId="3E026FA3">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省人民政府其他部门按照职责分工，做好节约用水相关工作。</w:t>
      </w:r>
    </w:p>
    <w:p w14:paraId="2FE3F9AA">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市县两级人民政府水务、发展改革、住房城乡建设、工业和信息化、农业农村、教育、公共机构节能等主管部门，按照职责分工，负责本行政区域内节约用水工作。</w:t>
      </w:r>
    </w:p>
    <w:p w14:paraId="4A5822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任何单位和个人都有节约用水的义务，对浪费水资源的行为有权举报。</w:t>
      </w:r>
    </w:p>
    <w:p w14:paraId="5A496770">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县级以上人民政府水行政主管部门应当建立举报制度，向社会公布举报方式，接到举报后及时调查处理，并向举报人反馈处理结果。</w:t>
      </w:r>
    </w:p>
    <w:p w14:paraId="3F6451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人民政府及其相关部门应当通过开展世界水日、中国水周、城市节约用水宣传周等主题宣传活动，加强节约用水宣传教育，营造亲水、惜水、节水的良好氛围，增强全民节约用水意识，使节约用水成为每个单位、每个家庭、每个人的自觉行动。</w:t>
      </w:r>
    </w:p>
    <w:p w14:paraId="05C8A754">
      <w:pPr>
        <w:ind w:firstLine="632" w:firstLineChars="200"/>
        <w:rPr>
          <w:rFonts w:ascii="Times New Roman" w:hAnsi="Times New Roman" w:cs="仿宋_GB2312"/>
          <w:sz w:val="32"/>
          <w:szCs w:val="32"/>
        </w:rPr>
      </w:pPr>
      <w:r>
        <w:rPr>
          <w:rFonts w:hint="eastAsia" w:ascii="Times New Roman" w:hAnsi="Times New Roman" w:cs="仿宋_GB2312"/>
          <w:sz w:val="32"/>
          <w:szCs w:val="32"/>
        </w:rPr>
        <w:t>广播、电视、报刊、网络等新闻媒体，应当加强节约用水公益宣传和舆论监督。</w:t>
      </w:r>
    </w:p>
    <w:p w14:paraId="10023C39">
      <w:pPr>
        <w:ind w:firstLine="632" w:firstLineChars="200"/>
        <w:rPr>
          <w:rFonts w:ascii="Times New Roman" w:hAnsi="Times New Roman" w:cs="仿宋_GB2312"/>
          <w:sz w:val="32"/>
          <w:szCs w:val="32"/>
        </w:rPr>
      </w:pPr>
      <w:r>
        <w:rPr>
          <w:rFonts w:hint="eastAsia" w:ascii="Times New Roman" w:hAnsi="Times New Roman" w:cs="仿宋_GB2312"/>
          <w:sz w:val="32"/>
          <w:szCs w:val="32"/>
        </w:rPr>
        <w:t>学校、宾馆、商场、车站、机场、公园、医院等公共场所应当设置节约用水宣传标语、标志牌，宣传节约用水知识。</w:t>
      </w:r>
    </w:p>
    <w:p w14:paraId="5207D9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对节约用水成绩显著的单位和个人，由县级以上人民政府按照国家和省有关规定予以表彰和奖励。</w:t>
      </w:r>
    </w:p>
    <w:p w14:paraId="4E3C56A8">
      <w:pPr>
        <w:rPr>
          <w:rFonts w:ascii="Times New Roman" w:hAnsi="Times New Roman" w:eastAsia="宋体" w:cs="宋体"/>
          <w:szCs w:val="32"/>
        </w:rPr>
      </w:pPr>
    </w:p>
    <w:p w14:paraId="62980B07">
      <w:pPr>
        <w:jc w:val="center"/>
        <w:rPr>
          <w:rFonts w:ascii="Times New Roman" w:hAnsi="Times New Roman" w:eastAsia="黑体" w:cs="黑体"/>
          <w:szCs w:val="32"/>
        </w:rPr>
      </w:pPr>
      <w:r>
        <w:rPr>
          <w:rFonts w:hint="eastAsia" w:ascii="Times New Roman" w:hAnsi="Times New Roman" w:eastAsia="黑体" w:cs="黑体"/>
          <w:szCs w:val="32"/>
        </w:rPr>
        <w:t>第二章　节约用水管理</w:t>
      </w:r>
    </w:p>
    <w:p w14:paraId="189AAF90">
      <w:pPr>
        <w:rPr>
          <w:rFonts w:ascii="Times New Roman" w:hAnsi="Times New Roman" w:eastAsia="宋体" w:cs="宋体"/>
          <w:szCs w:val="32"/>
        </w:rPr>
      </w:pPr>
    </w:p>
    <w:p w14:paraId="00E11D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县级以上人民政府根据经济社会发展需要、水资源状况和上级节水规划，组织编制本行政区域的节水规划。</w:t>
      </w:r>
    </w:p>
    <w:p w14:paraId="013E20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本省实行区域用水总量和强度控制制度，建立省、市、县三级行政区域用水总量和强度控制指标体系。</w:t>
      </w:r>
    </w:p>
    <w:p w14:paraId="298CBC06">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县级以上人民政府水行政主管部门应当依据本行政区域年度用水总量和强度控制指标，制定年度用水计划并组织实施。</w:t>
      </w:r>
    </w:p>
    <w:p w14:paraId="7352BB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需要开展水资源论证的规划和项目，应当将节约用水评价作为水资源论证的内容，促进水资源优化配置和高效利用。</w:t>
      </w:r>
    </w:p>
    <w:p w14:paraId="2277D233">
      <w:pPr>
        <w:ind w:firstLine="632" w:firstLineChars="200"/>
        <w:rPr>
          <w:rFonts w:ascii="Times New Roman" w:hAnsi="Times New Roman" w:cs="仿宋_GB2312"/>
          <w:sz w:val="32"/>
          <w:szCs w:val="32"/>
        </w:rPr>
      </w:pPr>
      <w:r>
        <w:rPr>
          <w:rFonts w:hint="eastAsia" w:ascii="Times New Roman" w:hAnsi="Times New Roman" w:cs="仿宋_GB2312"/>
          <w:sz w:val="32"/>
          <w:szCs w:val="32"/>
        </w:rPr>
        <w:t>缺水地区应当严格限制高耗水工业项目建设和高耗水服务业。</w:t>
      </w:r>
    </w:p>
    <w:p w14:paraId="306A5B6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新建、扩建、改建的建设项目，应当制订节水措施方案，配套建设节水设施。节水设施应当与主体工程同时设计、同时施工、同时投入使用。</w:t>
      </w:r>
    </w:p>
    <w:p w14:paraId="0BAC043D">
      <w:pPr>
        <w:ind w:firstLine="632" w:firstLineChars="200"/>
        <w:rPr>
          <w:rFonts w:ascii="Times New Roman" w:hAnsi="Times New Roman" w:cs="仿宋_GB2312"/>
          <w:sz w:val="32"/>
          <w:szCs w:val="32"/>
        </w:rPr>
      </w:pPr>
      <w:r>
        <w:rPr>
          <w:rFonts w:hint="eastAsia" w:ascii="Times New Roman" w:hAnsi="Times New Roman" w:cs="仿宋_GB2312"/>
          <w:sz w:val="32"/>
          <w:szCs w:val="32"/>
        </w:rPr>
        <w:t>用水单位应当加强节水设施运行维护管理，不得擅自停止使用节水设施。</w:t>
      </w:r>
    </w:p>
    <w:p w14:paraId="3D1279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本省用水定额由省人民政府有关行业主管部门提出，经同级水行政、标准化主管部门审核同意后，由省人民政府公布，并报国务院水行政、标准化主管部门备案。</w:t>
      </w:r>
    </w:p>
    <w:p w14:paraId="108CDE2A">
      <w:pPr>
        <w:ind w:firstLine="632" w:firstLineChars="200"/>
        <w:rPr>
          <w:rFonts w:ascii="Times New Roman" w:hAnsi="Times New Roman" w:cs="仿宋_GB2312"/>
          <w:sz w:val="32"/>
          <w:szCs w:val="32"/>
        </w:rPr>
      </w:pPr>
      <w:r>
        <w:rPr>
          <w:rFonts w:hint="eastAsia" w:ascii="Times New Roman" w:hAnsi="Times New Roman" w:cs="仿宋_GB2312"/>
          <w:sz w:val="32"/>
          <w:szCs w:val="32"/>
        </w:rPr>
        <w:t>本省用水定额应当根据水资源状况、技术进步和经济社会发展水平适时修订。</w:t>
      </w:r>
    </w:p>
    <w:p w14:paraId="456CEF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供水单位应当对计量设施定期检查、维护和轮换，计量设施有损坏的，应当及时更换，确保正常使用，并不得收取任何费用。</w:t>
      </w:r>
    </w:p>
    <w:p w14:paraId="03866750">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县级以上人民政府水行政主管部门根据用水总量和强度控制指标要求，确定本行政区域的重点监控用水单位名录并实行重点监控。</w:t>
      </w:r>
    </w:p>
    <w:p w14:paraId="1E4C14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重点监控用水单位应当按照国家规定的标准和规程，开展水平衡测试，对用水系统进行检测、统计和分析，落实节水措施，提高用水效率。</w:t>
      </w:r>
    </w:p>
    <w:p w14:paraId="375F0AFE">
      <w:pPr>
        <w:ind w:firstLine="632" w:firstLineChars="200"/>
        <w:rPr>
          <w:rFonts w:ascii="Times New Roman" w:hAnsi="Times New Roman" w:cs="仿宋_GB2312"/>
          <w:sz w:val="32"/>
          <w:szCs w:val="32"/>
        </w:rPr>
      </w:pPr>
      <w:r>
        <w:rPr>
          <w:rFonts w:hint="eastAsia" w:ascii="Times New Roman" w:hAnsi="Times New Roman" w:cs="仿宋_GB2312"/>
          <w:sz w:val="32"/>
          <w:szCs w:val="32"/>
        </w:rPr>
        <w:t>开展水平衡测试的用水单位应当对测试结果的真实性负责，向县级以上人民政府水行政主管部门报送测试结果。</w:t>
      </w:r>
    </w:p>
    <w:p w14:paraId="328ECB2C">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县级以上人民政府水行政主管部门应当加强水平衡测试监督管理，将测试结果作为核定有关用水单位用水指标的依据。</w:t>
      </w:r>
    </w:p>
    <w:p w14:paraId="1675BF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县级以上人民政府水行政主管部门应当会同统计等部门，建立用水统计制度，开展用水统计工作。</w:t>
      </w:r>
    </w:p>
    <w:p w14:paraId="4EE8E37D">
      <w:pPr>
        <w:ind w:firstLine="632" w:firstLineChars="200"/>
        <w:rPr>
          <w:rFonts w:ascii="Times New Roman" w:hAnsi="Times New Roman" w:cs="仿宋_GB2312"/>
          <w:sz w:val="32"/>
          <w:szCs w:val="32"/>
        </w:rPr>
      </w:pPr>
      <w:r>
        <w:rPr>
          <w:rFonts w:hint="eastAsia" w:ascii="Times New Roman" w:hAnsi="Times New Roman" w:cs="仿宋_GB2312"/>
          <w:sz w:val="32"/>
          <w:szCs w:val="32"/>
        </w:rPr>
        <w:t>供水单位、用水单位应当按照水行政主管部门要求做好用水统计工作。</w:t>
      </w:r>
    </w:p>
    <w:p w14:paraId="21E86787">
      <w:pPr>
        <w:rPr>
          <w:rFonts w:ascii="Times New Roman" w:hAnsi="Times New Roman" w:eastAsia="宋体" w:cs="宋体"/>
          <w:szCs w:val="32"/>
        </w:rPr>
      </w:pPr>
    </w:p>
    <w:p w14:paraId="656AC2CF">
      <w:pPr>
        <w:jc w:val="center"/>
        <w:rPr>
          <w:rFonts w:ascii="Times New Roman" w:hAnsi="Times New Roman" w:eastAsia="黑体" w:cs="黑体"/>
          <w:szCs w:val="32"/>
        </w:rPr>
      </w:pPr>
      <w:r>
        <w:rPr>
          <w:rFonts w:hint="eastAsia" w:ascii="Times New Roman" w:hAnsi="Times New Roman" w:eastAsia="黑体" w:cs="黑体"/>
          <w:szCs w:val="32"/>
        </w:rPr>
        <w:t>第三章　节约用水措施</w:t>
      </w:r>
    </w:p>
    <w:p w14:paraId="54904B32">
      <w:pPr>
        <w:rPr>
          <w:rFonts w:ascii="Times New Roman" w:hAnsi="Times New Roman" w:eastAsia="宋体" w:cs="宋体"/>
          <w:szCs w:val="32"/>
        </w:rPr>
      </w:pPr>
    </w:p>
    <w:p w14:paraId="272F8F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鼓励使用先进的节水技术、工艺、设备和产品，禁止生产、进口、销售、使用国家列入淘汰名录的节水技术、工艺、设备和产品。</w:t>
      </w:r>
    </w:p>
    <w:p w14:paraId="473BB9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新建、扩建、改建工业园区应当统筹规划建设工业废水集中处理和回用设施，实现水循环梯级优化利用和废水集中处理回用，建设节水型工业园区；已建成的工业园区应当按照节水型工业园区标准，逐步改造。</w:t>
      </w:r>
    </w:p>
    <w:p w14:paraId="28E9969C">
      <w:pPr>
        <w:ind w:firstLine="632" w:firstLineChars="200"/>
        <w:rPr>
          <w:rFonts w:ascii="Times New Roman" w:hAnsi="Times New Roman" w:cs="仿宋_GB2312"/>
          <w:sz w:val="32"/>
          <w:szCs w:val="32"/>
        </w:rPr>
      </w:pPr>
      <w:r>
        <w:rPr>
          <w:rFonts w:hint="eastAsia" w:ascii="Times New Roman" w:hAnsi="Times New Roman" w:cs="仿宋_GB2312"/>
          <w:sz w:val="32"/>
          <w:szCs w:val="32"/>
        </w:rPr>
        <w:t>工业企业应当使用先进节约用水技术、工艺和设备，采取循环用水、综合利用等措施，降低用水消耗，提高水的重复利用率。</w:t>
      </w:r>
    </w:p>
    <w:p w14:paraId="073A2DBB">
      <w:pPr>
        <w:ind w:firstLine="632" w:firstLineChars="200"/>
        <w:rPr>
          <w:rFonts w:ascii="Times New Roman" w:hAnsi="Times New Roman" w:cs="仿宋_GB2312"/>
          <w:sz w:val="32"/>
          <w:szCs w:val="32"/>
        </w:rPr>
      </w:pPr>
      <w:r>
        <w:rPr>
          <w:rFonts w:hint="eastAsia" w:ascii="Times New Roman" w:hAnsi="Times New Roman" w:cs="仿宋_GB2312"/>
          <w:sz w:val="32"/>
          <w:szCs w:val="32"/>
        </w:rPr>
        <w:t>工业生产的设备冷却水、空调冷却水、锅炉冷凝水等应当回收利用，直接排放的，按其工艺设计最大排放量核减其用水指标。</w:t>
      </w:r>
    </w:p>
    <w:p w14:paraId="5A8D2D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县级以上人民政府农业农村等主管部门应当推广农业节约用水新技术、工艺和设备，发展节水高效现代农业，建设节水型农业示范区。</w:t>
      </w:r>
    </w:p>
    <w:p w14:paraId="56BBDE13">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鼓励支持单位和个人投资兴建农业节约用水灌溉设施。</w:t>
      </w:r>
    </w:p>
    <w:p w14:paraId="637F6F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县级以上人民政府供水主管部门应当加强公共供水系统运行监督管理。</w:t>
      </w:r>
    </w:p>
    <w:p w14:paraId="68615E1F">
      <w:pPr>
        <w:ind w:firstLine="632" w:firstLineChars="200"/>
        <w:rPr>
          <w:rFonts w:ascii="Times New Roman" w:hAnsi="Times New Roman" w:cs="仿宋_GB2312"/>
          <w:sz w:val="32"/>
          <w:szCs w:val="32"/>
        </w:rPr>
      </w:pPr>
      <w:r>
        <w:rPr>
          <w:rFonts w:hint="eastAsia" w:ascii="Times New Roman" w:hAnsi="Times New Roman" w:cs="仿宋_GB2312"/>
          <w:sz w:val="32"/>
          <w:szCs w:val="32"/>
        </w:rPr>
        <w:t>供水单位应当采用先进制水技术，减少制水水量损耗，加强对供水设施的维护管理，定期更新改造，确保管网漏损率符合国家标准。超过国家标准的供水管网渗漏水量不得纳入供水成本。</w:t>
      </w:r>
    </w:p>
    <w:p w14:paraId="3C33AE04">
      <w:pPr>
        <w:ind w:firstLine="632" w:firstLineChars="200"/>
        <w:rPr>
          <w:rFonts w:ascii="Times New Roman" w:hAnsi="Times New Roman" w:cs="仿宋_GB2312"/>
          <w:sz w:val="32"/>
          <w:szCs w:val="32"/>
        </w:rPr>
      </w:pPr>
      <w:r>
        <w:rPr>
          <w:rFonts w:hint="eastAsia" w:ascii="Times New Roman" w:hAnsi="Times New Roman" w:cs="仿宋_GB2312"/>
          <w:sz w:val="32"/>
          <w:szCs w:val="32"/>
        </w:rPr>
        <w:t>供水单位应当建立供水日常巡查与应急抢修制度，发现漏损或者接到漏损报告应当及时抢修，保障正常供水。</w:t>
      </w:r>
    </w:p>
    <w:p w14:paraId="112E8B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公共机构应当按照国家标准，创建节水型单位，优先采购和使用列入国家鼓励使用目录的节水产品和设备，完善节水管理制度。</w:t>
      </w:r>
    </w:p>
    <w:p w14:paraId="6425DF3A">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鼓励企业建立办公、生活服务场所节水管理制度，优先使用列入国家鼓励使用目录的节水产品和设备。</w:t>
      </w:r>
    </w:p>
    <w:p w14:paraId="0B79E3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县级以上人民政府住房和城乡建设主管部门应当推动公共建筑节约用水。新建公共建筑应当安装节水型器具，已建成的公共建筑未安装节水型器具的，应当逐步更换。</w:t>
      </w:r>
    </w:p>
    <w:p w14:paraId="26D2F9B1">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新建公共建筑应当按照相关标准和要求安装再生水回用设施。</w:t>
      </w:r>
    </w:p>
    <w:p w14:paraId="08F79E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鼓励支持新建、扩建、改建的污水处理企业建设再生水利用系统及输配管网。</w:t>
      </w:r>
    </w:p>
    <w:p w14:paraId="349177CF">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城市绿化、道路清扫、车辆冲洗、建筑施工以及生态景观等用水，应当优先使用符合标准要求的再生水。因再生水水量不足确需在城镇公共供水管网取水的，应当在指定地点取水，并计量缴费。</w:t>
      </w:r>
    </w:p>
    <w:p w14:paraId="3E70D979">
      <w:pPr>
        <w:ind w:firstLine="632" w:firstLineChars="200"/>
        <w:rPr>
          <w:rFonts w:ascii="Times New Roman" w:hAnsi="Times New Roman" w:cs="仿宋_GB2312"/>
          <w:sz w:val="32"/>
          <w:szCs w:val="32"/>
        </w:rPr>
      </w:pPr>
      <w:r>
        <w:rPr>
          <w:rFonts w:hint="eastAsia" w:ascii="Times New Roman" w:hAnsi="Times New Roman" w:cs="仿宋_GB2312"/>
          <w:sz w:val="32"/>
          <w:szCs w:val="32"/>
        </w:rPr>
        <w:t>除消防等应急救援外，任何单位和个人不得通过市政消火栓取水。</w:t>
      </w:r>
    </w:p>
    <w:p w14:paraId="47B19A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洗车、水上娱乐业、人造滑雪场等高耗水用水行业，应当采用低耗水和循环用水等节水技术、设备和设施。</w:t>
      </w:r>
    </w:p>
    <w:p w14:paraId="4328AE2E">
      <w:pPr>
        <w:ind w:firstLine="632" w:firstLineChars="200"/>
        <w:rPr>
          <w:rFonts w:ascii="Times New Roman" w:hAnsi="Times New Roman" w:cs="仿宋_GB2312"/>
          <w:sz w:val="32"/>
          <w:szCs w:val="32"/>
        </w:rPr>
      </w:pPr>
      <w:r>
        <w:rPr>
          <w:rFonts w:hint="eastAsia" w:ascii="Times New Roman" w:hAnsi="Times New Roman" w:cs="仿宋_GB2312"/>
          <w:sz w:val="32"/>
          <w:szCs w:val="32"/>
        </w:rPr>
        <w:t>餐饮、洗浴、游泳场馆、宾馆等服务性企业应当采用节水型器具和设备设施，逐步淘汰耗水量高的用水器具和设备设施。</w:t>
      </w:r>
    </w:p>
    <w:p w14:paraId="3C6A50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引导城乡居民使用节水型器具，创建节水型村寨和居民小区。鼓励新建居民小区安装再生水回用设施。</w:t>
      </w:r>
    </w:p>
    <w:p w14:paraId="04D80F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鼓励支持从事节约用水服务的机构与用水单位签订合同，通过提供节水评估、融资、改造、管理等服务，以节水效益分享方式获得合理利润。</w:t>
      </w:r>
    </w:p>
    <w:p w14:paraId="3A8A8F5B">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县级以上人民政府应当培育和发展节约用水服务机构，通过项目资助、购买服务等方式，支持节约用水服务机构开展节约用水活动。</w:t>
      </w:r>
    </w:p>
    <w:p w14:paraId="303FFB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县级以上人民政府应当推动节水技术与科技创新，引导和支持高校、科研院所、企业加强节水技术研究，开展产学研合作，研制和开发节水技术产品，促进节水科技成果转化。</w:t>
      </w:r>
    </w:p>
    <w:p w14:paraId="11FBA173">
      <w:pPr>
        <w:rPr>
          <w:rFonts w:ascii="Times New Roman" w:hAnsi="Times New Roman" w:eastAsia="宋体" w:cs="宋体"/>
          <w:szCs w:val="32"/>
        </w:rPr>
      </w:pPr>
    </w:p>
    <w:p w14:paraId="4294E868">
      <w:pPr>
        <w:jc w:val="center"/>
        <w:rPr>
          <w:rFonts w:ascii="Times New Roman" w:hAnsi="Times New Roman" w:eastAsia="黑体" w:cs="黑体"/>
          <w:szCs w:val="32"/>
        </w:rPr>
      </w:pPr>
      <w:r>
        <w:rPr>
          <w:rFonts w:hint="eastAsia" w:ascii="Times New Roman" w:hAnsi="Times New Roman" w:eastAsia="黑体" w:cs="黑体"/>
          <w:szCs w:val="32"/>
        </w:rPr>
        <w:t>第四章　节约用水保障</w:t>
      </w:r>
    </w:p>
    <w:p w14:paraId="0EDB44AA">
      <w:pPr>
        <w:rPr>
          <w:rFonts w:ascii="Times New Roman" w:hAnsi="Times New Roman" w:eastAsia="宋体" w:cs="宋体"/>
          <w:szCs w:val="32"/>
        </w:rPr>
      </w:pPr>
    </w:p>
    <w:p w14:paraId="3C6E3D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县级以上人民政府应当将节约用水工作经费纳入本级财政预算，建立节约用水投入机制，完善政府、企业、社会多元化投融资渠道，对节水示范项目给予政策和资金扶持。</w:t>
      </w:r>
    </w:p>
    <w:p w14:paraId="2AD0EF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县级以上人民政府应当统筹建立完善农业水价形成机制、精准补贴和节水奖励机制、工程建设和管护机制、用水管理机制，促进农业节约用水。</w:t>
      </w:r>
    </w:p>
    <w:p w14:paraId="1BE999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城镇公共供水管网覆盖区域内，根据本省实际，在保障居民用户和非居民用户合理用水需求的前提下，完善居民生活用水阶梯价格制度和非居民用水超定额累进加价制度。</w:t>
      </w:r>
    </w:p>
    <w:p w14:paraId="7D8FC0F8">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县级以上人民政府价格主管部门应当动态调整和评估居民生活用水阶梯价格，并采取召开听证会、论证会等方式，充分听取居民和有关方面的意见。</w:t>
      </w:r>
    </w:p>
    <w:p w14:paraId="6529688E">
      <w:pPr>
        <w:ind w:firstLine="632" w:firstLineChars="200"/>
        <w:rPr>
          <w:rFonts w:ascii="Times New Roman" w:hAnsi="Times New Roman" w:cs="仿宋_GB2312"/>
          <w:sz w:val="32"/>
          <w:szCs w:val="32"/>
        </w:rPr>
      </w:pPr>
      <w:r>
        <w:rPr>
          <w:rFonts w:hint="eastAsia" w:ascii="Times New Roman" w:hAnsi="Times New Roman" w:cs="仿宋_GB2312"/>
          <w:sz w:val="32"/>
          <w:szCs w:val="32"/>
        </w:rPr>
        <w:t>实行阶梯水价制度形成的加价收入单独列收列支，专项用于实施户表改造、保持第一级水价相</w:t>
      </w:r>
      <w:bookmarkStart w:id="0" w:name="_GoBack"/>
      <w:bookmarkEnd w:id="0"/>
      <w:r>
        <w:rPr>
          <w:rFonts w:hint="eastAsia" w:ascii="Times New Roman" w:hAnsi="Times New Roman" w:cs="仿宋_GB2312"/>
          <w:sz w:val="32"/>
          <w:szCs w:val="32"/>
        </w:rPr>
        <w:t>对稳定等；实行超定额累进加价制度形成的加价收入单独列收列支，主要用于水质提升、完善计量设施、户表及管网改造等，可以提取一定比例，用于对节水成效突出的企业进行奖励、企业节水技术改造、节水技术工艺推广等。加价收入不得挪作他用，具体办法由省人民政府制定。</w:t>
      </w:r>
    </w:p>
    <w:p w14:paraId="025D93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再生水价格由供需双方自行协商，按照与城镇供水保持竞争优势的原则合理确定。</w:t>
      </w:r>
    </w:p>
    <w:p w14:paraId="5860535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鼓励金融机构推出符合节约用水项目需求的金融产品和服务，对符合贷款条件的节水项目，优先给予支持。</w:t>
      </w:r>
    </w:p>
    <w:p w14:paraId="7D0A26D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县级以上人民政府水行政主管部门和其他有关主管部门，应当按照职责分工和双随机一公开的要求，对供水、用水单位节约用水情况进行监督检查。被检查的单位应当予以配合，如实提供有关数据、材料，反映情况，不得拒绝、阻挠、妨碍监督检查人员依法履行职务。</w:t>
      </w:r>
    </w:p>
    <w:p w14:paraId="6578DCD8">
      <w:pPr>
        <w:rPr>
          <w:rFonts w:ascii="Times New Roman" w:hAnsi="Times New Roman" w:eastAsia="宋体" w:cs="宋体"/>
          <w:szCs w:val="32"/>
        </w:rPr>
      </w:pPr>
    </w:p>
    <w:p w14:paraId="042CF6BE">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14:paraId="1F5FFE59">
      <w:pPr>
        <w:rPr>
          <w:rFonts w:ascii="Times New Roman" w:hAnsi="Times New Roman" w:eastAsia="宋体" w:cs="宋体"/>
          <w:szCs w:val="32"/>
        </w:rPr>
      </w:pPr>
    </w:p>
    <w:p w14:paraId="31EE26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违反本条例第十二条第二款规定，用水单位擅自停止使用节水设施的，由县级以上人民政府水行政主管部门责令限期改正；逾期未改正的，处以五万元以上十万元以下罚款。</w:t>
      </w:r>
    </w:p>
    <w:p w14:paraId="09344A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违反本条例第十六条第二款规定，供水单位、用水单位未按要求做好用水统计工作的，由县级以上人民政府水行政主管部门责令限期改正；逾期未改正的，处以五千元以上五万元以下罚款。</w:t>
      </w:r>
    </w:p>
    <w:p w14:paraId="3E7C09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违反本条例第二十条第二款规定，供水单位管网漏损率不符合国家标准的，由县级以上人民政府供水主管部门责令限期改正；逾期未改正的，处以五万元以上二十万元以下罚款。</w:t>
      </w:r>
    </w:p>
    <w:p w14:paraId="759E1915">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违反本条例第二十条第三款规定，供水企业发现漏损或者接到漏损报告后未及时抢修的，由县级以上人民政府供水主管部门责令改正，可处以二万元以上五万元以下罚款。</w:t>
      </w:r>
    </w:p>
    <w:p w14:paraId="7D320C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违反本条例第二十二条规定，新建公共建筑未安装节水型器具或者未按规定安装再生水回用设施的，由县级以上人民政府住房和城乡建设主管部门责令建设单位限期改正；逾期未改正的，处以五万元以上二十万元以下罚款。</w:t>
      </w:r>
    </w:p>
    <w:p w14:paraId="1760D8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违反本条例第二十三条第三款规定，擅自通过市政消火栓取水的，由县级以上人民政府供水主管部门责令限期改正，并对单位处以一万元以上五万元以下罚款，个人处以一百元以上一千元以下罚款。</w:t>
      </w:r>
    </w:p>
    <w:p w14:paraId="2AB431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违反本条例第二十四条第一款规定，未采用低耗水和循环用水等节水技术、设备和设施的，由县级以上人民政府水行政主管部门责令限期改正，处以一万元以上十万元以下罚款；逾期未改正的，处以十万元以上五十万元以下罚款。</w:t>
      </w:r>
    </w:p>
    <w:p w14:paraId="2254E7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县级以上人民政府水行政主管部门或者其他有关部门及其工作人员在节约用水工作中徇私舞弊、滥用职权、玩忽职守，尚不构成犯罪的，对直接负责的主管人员和其他直接责任人员依法给予处分。</w:t>
      </w:r>
    </w:p>
    <w:p w14:paraId="3A13AF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违反本条例规定的其他行为，法律、法规有处罚规定的，从其规定。</w:t>
      </w:r>
    </w:p>
    <w:p w14:paraId="5366F1EC">
      <w:pPr>
        <w:rPr>
          <w:rFonts w:ascii="Times New Roman" w:hAnsi="Times New Roman" w:eastAsia="宋体" w:cs="宋体"/>
          <w:szCs w:val="32"/>
        </w:rPr>
      </w:pPr>
    </w:p>
    <w:p w14:paraId="454EB85B">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40C4280C">
      <w:pPr>
        <w:rPr>
          <w:rFonts w:ascii="Times New Roman" w:hAnsi="Times New Roman" w:eastAsia="宋体" w:cs="宋体"/>
          <w:szCs w:val="32"/>
        </w:rPr>
      </w:pPr>
    </w:p>
    <w:p w14:paraId="5476A6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本条例自2020年9月1日起施行。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2B26A5D"/>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4801</Words>
  <Characters>4811</Characters>
  <Lines>87</Lines>
  <Paragraphs>24</Paragraphs>
  <TotalTime>4</TotalTime>
  <ScaleCrop>false</ScaleCrop>
  <LinksUpToDate>false</LinksUpToDate>
  <CharactersWithSpaces>4876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2024-10-27T07:24:03Z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2FD69C03242F4B4CB994B32907F6D346_13</vt:lpwstr>
  </property>
  <property fmtid="{D5CDD505-2E9C-101B-9397-08002B2CF9AE}" pid="3" name="KSOProductBuildVer">
    <vt:lpwstr>2052-12.1.0.18608</vt:lpwstr>
  </property>
</Properties>
</file>