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14:paraId="41D48980">
      <w:pPr>
        <w:rPr>
          <w:rFonts w:ascii="Times New Roman" w:eastAsia="宋体" w:hAnsi="Times New Roman" w:cs="宋体"/>
          <w:szCs w:val="32"/>
        </w:rPr>
      </w:pPr>
    </w:p>
    <w:p>
      <w:pPr>
        <w:rPr>
          <w:rFonts w:ascii="Times New Roman" w:eastAsia="宋体" w:hAnsi="Times New Roman" w:cs="宋体"/>
          <w:szCs w:val="32"/>
        </w:rPr>
      </w:pPr>
    </w:p>
    <w:p w14:paraId="641028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CESI小标宋-GB18030" w:eastAsia="CESI小标宋-GB18030" w:hAnsi="CESI小标宋-GB18030" w:cs="CESI小标宋-GB18030" w:hint="eastAsia"/>
          <w:color w:val="333333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  <w:t>周口市公园条例</w:t>
      </w:r>
    </w:p>
    <w:p>
      <w:pPr>
        <w:rPr>
          <w:rFonts w:ascii="Times New Roman" w:eastAsia="宋体" w:hAnsi="Times New Roman" w:cs="宋体"/>
          <w:szCs w:val="32"/>
        </w:rPr>
      </w:pPr>
    </w:p>
    <w:p w14:paraId="07D4C064">
      <w:pPr>
        <w:widowControl/>
        <w:ind w:left="640" w:right="640" w:leftChars="200" w:rightChars="200"/>
        <w:rPr>
          <w:rFonts w:ascii="Times New Roman" w:eastAsia="楷体_GB2312" w:hAnsi="Times New Roman" w:cs="楷体_GB2312"/>
          <w:bCs/>
          <w:spacing w:val="6"/>
          <w:sz w:val="32"/>
          <w:szCs w:val="32"/>
          <w:shd w:val="clear" w:color="auto" w:fill="FFFFFF"/>
        </w:rPr>
      </w:pPr>
      <w:r>
        <w:rPr>
          <w:rFonts w:ascii="Times New Roman" w:eastAsia="楷体_GB2312" w:hAnsi="Times New Roman" w:cs="楷体_GB2312" w:hint="eastAsia"/>
          <w:bCs/>
          <w:spacing w:val="0"/>
          <w:sz w:val="32"/>
          <w:szCs w:val="32"/>
          <w:shd w:val="clear" w:color="auto" w:fill="FFFFFF"/>
        </w:rPr>
        <w:t>（2024年6月28日周口市第五届人民代表大会常务委员会第十一次会议通过　2024年8月3日河南省第十四届人民代表大会常务委员会第十次会议批准）</w:t>
      </w:r>
    </w:p>
    <w:p>
      <w:pPr>
        <w:rPr>
          <w:rFonts w:ascii="Times New Roman" w:eastAsia="宋体" w:hAnsi="Times New Roman" w:cs="宋体"/>
          <w:szCs w:val="32"/>
        </w:rPr>
      </w:pPr>
    </w:p>
    <w:p w14:paraId="57F2AA95">
      <w:pPr>
        <w:spacing w:line="240" w:lineRule="auto"/>
        <w:ind w:firstLine="0"/>
        <w:jc w:val="center"/>
        <w:rPr>
          <w:rFonts w:ascii="Times New Roman" w:hAnsi="Times New Roman"/>
        </w:rPr>
      </w:pPr>
      <w:r>
        <w:rPr>
          <w:rFonts w:ascii="Times New Roman" w:eastAsia="楷体_GB2312" w:hAnsi="Times New Roman" w:cs="楷体_GB2312"/>
          <w:sz w:val="32"/>
        </w:rPr>
        <w:t>目　　录</w:t>
      </w:r>
    </w:p>
    <w:p w14:paraId="4D389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80" w:right="0" w:hanging="640" w:leftChars="200" w:rightChars="0" w:hangingChars="200"/>
        <w:jc w:val="both"/>
        <w:textAlignment w:val="auto"/>
        <w:rPr>
          <w:rFonts w:ascii="Times New Roman" w:hAnsi="Times New Roman"/>
          <w:sz w:val="32"/>
        </w:rPr>
      </w:pPr>
      <w:r>
        <w:rPr>
          <w:rFonts w:ascii="Times New Roman" w:eastAsia="楷体_GB2312" w:hAnsi="Times New Roman" w:cs="楷体_GB2312"/>
          <w:sz w:val="32"/>
        </w:rPr>
        <w:t>第一章　总　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80" w:right="0" w:hanging="640" w:leftChars="200" w:rightChars="0" w:hangingChars="200"/>
        <w:jc w:val="both"/>
        <w:textAlignment w:val="auto"/>
        <w:rPr>
          <w:rFonts w:ascii="Times New Roman" w:hAnsi="Times New Roman"/>
          <w:sz w:val="32"/>
        </w:rPr>
      </w:pPr>
      <w:r>
        <w:rPr>
          <w:rFonts w:ascii="Times New Roman" w:eastAsia="楷体_GB2312" w:hAnsi="Times New Roman" w:cs="楷体_GB2312"/>
          <w:sz w:val="32"/>
        </w:rPr>
        <w:t>第二章　规划建设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80" w:right="0" w:hanging="640" w:leftChars="200" w:rightChars="0" w:hangingChars="200"/>
        <w:jc w:val="both"/>
        <w:textAlignment w:val="auto"/>
        <w:rPr>
          <w:rFonts w:ascii="Times New Roman" w:hAnsi="Times New Roman"/>
          <w:sz w:val="32"/>
        </w:rPr>
      </w:pPr>
      <w:r>
        <w:rPr>
          <w:rFonts w:ascii="Times New Roman" w:eastAsia="楷体_GB2312" w:hAnsi="Times New Roman" w:cs="楷体_GB2312"/>
          <w:sz w:val="32"/>
        </w:rPr>
        <w:t>第三章　服务管理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80" w:right="0" w:hanging="640" w:leftChars="200" w:rightChars="0" w:hangingChars="200"/>
        <w:jc w:val="both"/>
        <w:textAlignment w:val="auto"/>
        <w:rPr>
          <w:rFonts w:ascii="Times New Roman" w:hAnsi="Times New Roman"/>
          <w:sz w:val="32"/>
        </w:rPr>
      </w:pPr>
      <w:r>
        <w:rPr>
          <w:rFonts w:ascii="Times New Roman" w:eastAsia="楷体_GB2312" w:hAnsi="Times New Roman" w:cs="楷体_GB2312"/>
          <w:sz w:val="32"/>
        </w:rPr>
        <w:t>第四章　法律责任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280" w:right="0" w:hanging="640" w:leftChars="200" w:rightChars="0" w:hangingChars="200"/>
        <w:jc w:val="both"/>
        <w:textAlignment w:val="auto"/>
        <w:rPr>
          <w:rFonts w:ascii="Times New Roman" w:hAnsi="Times New Roman"/>
          <w:sz w:val="32"/>
        </w:rPr>
      </w:pPr>
      <w:r>
        <w:rPr>
          <w:rFonts w:ascii="Times New Roman" w:eastAsia="楷体_GB2312" w:hAnsi="Times New Roman" w:cs="楷体_GB2312"/>
          <w:sz w:val="32"/>
        </w:rPr>
        <w:t>第五章　附　　则</w:t>
      </w:r>
    </w:p>
    <w:p>
      <w:pPr>
        <w:rPr>
          <w:rFonts w:ascii="Times New Roman" w:eastAsia="宋体" w:hAnsi="Times New Roman" w:cs="宋体"/>
          <w:szCs w:val="32"/>
        </w:rPr>
      </w:pPr>
    </w:p>
    <w:p w14:paraId="5888BCF4">
      <w:pPr>
        <w:jc w:val="center"/>
        <w:rPr>
          <w:rFonts w:ascii="Times New Roman" w:eastAsia="黑体" w:hAnsi="Times New Roman" w:cs="黑体"/>
          <w:szCs w:val="32"/>
        </w:rPr>
      </w:pPr>
      <w:r>
        <w:rPr>
          <w:rFonts w:ascii="Times New Roman" w:eastAsia="黑体" w:hAnsi="Times New Roman" w:cs="黑体" w:hint="eastAsia"/>
          <w:szCs w:val="32"/>
        </w:rPr>
        <w:t>第一章　总　　则</w:t>
      </w:r>
    </w:p>
    <w:p>
      <w:pPr>
        <w:rPr>
          <w:rFonts w:ascii="Times New Roman" w:eastAsia="宋体" w:hAnsi="Times New Roman" w:cs="宋体"/>
          <w:szCs w:val="32"/>
        </w:rPr>
      </w:pPr>
    </w:p>
    <w:p w14:paraId="03D3F75D"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第一条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为了促进公园事业健康发展，改善生态和人居环境，根据有关法律、法规，结合本市实际，制定本条例。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第二条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本条例适用于本市行政区域内公园的规划、建设、服务和管理。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本条例所称公园，是指具备良好绿化环境和较完善的服务设施，向公众开放的，具有休憩、健身、游览、娱乐、科普教育、防灾避险等功能的公共场所，包括综合公园、专类公园（动物园、植物园、历史名园、儿童公园等）、社区公园、游园等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本条例未作规定的，适用有关法律、法规的规定。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第三条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本市公园事业发展应当坚持党委领导、政府主导、社会参与、统一规划、规范建设、科学管理、服务公众的原则。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第四条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市、县（市）、区人民政府应当将公园事业发展纳入国民经济和社会发展规划，并将政府投资建设和管理的公园所需经费列入本级财政预算。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第五条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市、县（市）、区园林绿化主管部门是公园行政主管部门，负责本行政区域内公园的行业管理、业务指导和监督检查等工作。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发展改革、教育体育、公安、民政、财政、自然资源和规划、生态环境、住房和城乡建设、水利、文化和旅游、应急管理、市场监管、港航管理等部门，按照各自职责做好公园的服务管理等工作。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第六条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公园管理机构负责公园的日常管理和服务工作，并接受园林绿化主管部门和其他有关部门的监督、检查和指导。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政府投资建设的公园，由政府确定公园管理机构。非政府投资建设的公园，由建设单位负责，并报本级园林绿化主管部门备案；已经竣工验收移交政府的，由政府确定的公园管理机构负责。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第七条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公园实行名录管理。公园名录的确定及调整，由市、县（市）、区园林绿化主管部门提出，经同级人民政府批准后向社会公布。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公园名录应当包括公园名称、类别、等级、位置、面积、四至范围和管理单位等内容。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公园的名称应当体现功能定位、园区风貌、地域特色、历史文化内涵等，按照国家、省有关地名管理规定确定。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第八条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鼓励单位和个人通过投资、捐赠、参加志愿服务等方式，依法参与公园的建设、服务和管理。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第九条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任何单位和个人都应当遵守维护公园环境、保护公园设施的相关法律、法规，并有权对违反本条例的行为进行劝阻、投诉和举报。</w:t>
      </w:r>
    </w:p>
    <w:p>
      <w:pPr>
        <w:rPr>
          <w:rFonts w:ascii="Times New Roman" w:eastAsia="宋体" w:hAnsi="Times New Roman" w:cs="宋体"/>
          <w:szCs w:val="32"/>
        </w:rPr>
      </w:pPr>
    </w:p>
    <w:p>
      <w:pPr>
        <w:jc w:val="center"/>
        <w:rPr>
          <w:rFonts w:ascii="Times New Roman" w:eastAsia="黑体" w:hAnsi="Times New Roman" w:cs="黑体"/>
          <w:szCs w:val="32"/>
        </w:rPr>
      </w:pPr>
      <w:r>
        <w:rPr>
          <w:rFonts w:ascii="Times New Roman" w:eastAsia="黑体" w:hAnsi="Times New Roman" w:cs="黑体" w:hint="eastAsia"/>
          <w:szCs w:val="32"/>
        </w:rPr>
        <w:t>第二章　规划建设</w:t>
      </w:r>
    </w:p>
    <w:p>
      <w:pPr>
        <w:rPr>
          <w:rFonts w:ascii="Times New Roman" w:eastAsia="宋体" w:hAnsi="Times New Roman" w:cs="宋体"/>
          <w:szCs w:val="32"/>
        </w:rPr>
      </w:pP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市、县（市）园林绿化主管部门应当会同自然资源和规划等部门，编制公园体系规划，报同级人民政府批准后实施。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经批准的公园体系规划不得擅自变更；确需变更的，公园数量和面积不得减少，并按照原审批程序报批。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第十一条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编制公园体系规划应当符合下列要求：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（一）明确公园体系发展和保护目标，做到布局合理、覆盖均衡、体系完整、功能多样；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（二）符合十五分钟生活圈建设要求，科学规划公园的选址、面积和服务半径，方便公众使用；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（三）结合水环境治理、废弃地生态修复、老旧小区改造；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（四）改善城乡环境，鼓励利用荒滩、荒地；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（五）因地制宜，配套建设农村文体活动广场；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（六）科学布局防灾避险、人民防空和地下空间开发利用；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（七）充分利用资源禀赋，优先选择具有文化内涵和地方特色的区域；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（八）法律、法规规定的其他要求。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编制公园体系规划应当广泛征求意见，规划报送审批前，公示时间不得少于三十日。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第十二条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新建、改建、扩建公园，应当根据公园体系规划以及国家、省相关技术标准和设计规范编制建设工程设计方案。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建设工程设计方案由自然资源和规划部门审批。审批时，应当征求园林绿化主管部门的意见。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经批准的建设工程设计方案不得擅自变更；确需变更的，应当按照原审批程序报批。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第十三条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公园内应当按照规划和建设工程设计方案要求设置功能配套设施，严格控制设置商业服务设施。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公园内的餐厅、茶座、咖啡厅、商亭等配套服务设施应当统一规划，与游客容量相适应，严格控制数量和规模。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政府投资建设管理的公园和依托历史建筑建设的公园，禁止设置改变公园和历史建筑等公共资源属性、与公园功能无关的场所。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第十四条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公园管理机构应当根据游客容量和公众需求，在公园内合理设置座椅、园灯、饮水、充电、厕所、垃圾箱等便民服务设施。有条件的公园应当设置志愿者服务站。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公园出入口、主要园路、建筑物出入口以及厕所等场所应当设置无障碍设施。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综合公园和有条件的社区公园应当配套建设健身步道、健身区、儿童户外活动场所，设置老年人休憩区、母婴室。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第十五条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市、县（市）、区园林绿化主管部门应当根据防灾减灾相关规划，指导承担应急避险功能的公园配合建设相应的应急避险场所。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公园管理机构应当按照规定在公园内设置消防水源和消防设施，确保消防通道畅通。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滨河、滨湖公园应当设置安全防护设施，园内建筑和服务设施应当符合防洪、防涝的相关标准要求。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公园内设置游乐设施应当符合国家、省和本市有关技术、安全标准和规定。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第十六条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公园内设置水、电、气、暖、通信等管线和其他市政设施，应当符合安全规范要求，与公园景观相协调，避开游客活动密集区域和主要景点，不得危及游客安全。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第十七条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公园建设应当推广应用绿色照明、清洁能源、雨水收集、再生水利用、园林垃圾资源化利用等环保技术和新产品。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新建、改建、扩建公园应当因地制宜，通过选用耐水湿、吸附净化能力强的植物，建设储水池塘、下凹式绿地、人工湿地等设施，提高对雨水的吸纳、蓄渗和缓释作用，有效控制雨水径流。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第十八条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任何单位和个人不得侵占公园用地、擅自改变公园用地性质；确需占用或者改变公园用地性质的，应当依法审批。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需要临时占用公园用地的，应当经园林绿化主管部门同意，并办理临时用地审批手续；临时占用结束后，建设单位应当及时恢复原状。</w:t>
      </w:r>
    </w:p>
    <w:p>
      <w:pPr>
        <w:rPr>
          <w:rFonts w:ascii="Times New Roman" w:eastAsia="宋体" w:hAnsi="Times New Roman" w:cs="宋体"/>
          <w:szCs w:val="32"/>
        </w:rPr>
      </w:pPr>
    </w:p>
    <w:p>
      <w:pPr>
        <w:jc w:val="center"/>
        <w:rPr>
          <w:rFonts w:ascii="Times New Roman" w:eastAsia="黑体" w:hAnsi="Times New Roman" w:cs="黑体"/>
          <w:szCs w:val="32"/>
        </w:rPr>
      </w:pPr>
      <w:r>
        <w:rPr>
          <w:rFonts w:ascii="Times New Roman" w:eastAsia="黑体" w:hAnsi="Times New Roman" w:cs="黑体" w:hint="eastAsia"/>
          <w:szCs w:val="32"/>
        </w:rPr>
        <w:t>第三章　服务管理</w:t>
      </w:r>
    </w:p>
    <w:p>
      <w:pPr>
        <w:rPr>
          <w:rFonts w:ascii="Times New Roman" w:eastAsia="宋体" w:hAnsi="Times New Roman" w:cs="宋体"/>
          <w:szCs w:val="32"/>
        </w:rPr>
      </w:pP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第十九条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公园管理机构应当履行下列职责：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（一）依据规划和有关规范、标准对公园进行维护和管理，配备相应的管理、技术、保洁、养护和安保人员；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（二）建立健全公园管理制度，根据需要制定公园管理细则和游园须知，并报园林绿化主管部门备案；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（三）保持公园设施和绿化景观良好，引导游客文明游园，维护正常游览秩序；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（四）管理公园内休憩、健身、配套商业服务等活动；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（五）加强公园内生物多样性保护，做好蚊、蝇、鼠、蟑螂、白蚁等病虫害防治；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（六）保护公园内古树名木、文物古迹和历史建筑等；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（七）应当履行的其他职责。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第二十条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公园管理机构应当在公园主要出入口的显著位置设置公园简介、游园示意图、游园须知、管理机构名称和投诉、举报电话。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公园内应当设置指示标牌和公益宣传栏；健身、游乐等设施应当设置安全提示标志；危险区域应当设置安全警示标志和防护设施。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第二十一条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公园应当每天开放。因特殊情况需要闭园的，应当提前向社会公布，并向园林绿化主管部门备案。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第二十二条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支持有条件的公园在草坪、林下空间等区域划定开放共享区域，满足公众搭建帐篷、运动健身、休闲游憩等户外活动需求。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公园管理机构应当将开放共享区域、开放时间、活动类型等向社会公布。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第二十三条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公园管理机构应当加强应急预案的编制、宣传、演练，协同有关部门做好极端天气、自然灾害等突发事件防范应对工作。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遇有紧急情况或者突发事件，公园管理机构应当启动应急预案，采取有效措施，保障游客安全。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第二十四条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公园管理机构应当加强公园内配套服务项目经营活动的实施和管理。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支持社会资本进入公园配套服务领域，鼓励公园配套服务采取整体打包专业化运营等模式。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第二十五条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公园管理机构不得将公园内的管理用房改作经营用房或者出租、出借给单位或者个人使用。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政府管理的公园的配套商业设施、场地对外出租的，应当按照国有资产使用和管理的有关规定公开招标。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第二十六条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公园管理机构应当定期巡查养护公园内的景观水体，及时清理水面漂浮物，保持水体清洁。发现公园内水体污染、水位异常的，应当立即向生态环境、水利部门报告，并配合采取措施进行治理。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第二十七条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利用公园设施或者场地临时举办展览、宣传、演出、影视剧拍摄、商业摄影等活动的，应当符合相关管理规定，在指定地点和时间内进行，不得损坏公园设施和景观。活动结束后，举办方应当及时拆除临时设施，清除废弃物，将临时占用的公园景观、绿地、设施等恢复原状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进入公园的游客应当文明游园，爱护公园环境卫生。游览结束后，应当自行清理果皮、烟蒂、塑料制品、一次性餐食（饮料）、餐具等废弃物。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第二十八条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公园管理机构应当根据公园空间、设施条件和所在区域声环境功能区质量标准要求，结合公园主要功能和游客需求，确定不同区域环境噪声限值及禁止开展相关活动的时间，并在显著位置设置告示牌，向社会公布。公园内各区域的各类活动均不能超过相应的噪声限值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在公园内演奏、歌咏、甩鞭、打陀螺、健步走、跳广场舞等，应当遵守相关管理规定，采取有效措施，防止噪声污染。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第二十九条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有条件的公园应当合理设置机动车和非机动车停车位。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未经公园管理机构允许，车辆不得进入公园。下列车辆除外：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（一）老、幼、病、残者使用的专用车辆；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（二）专用观光车辆和施工、养护作业车辆；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（三）执行公务的公安、消防、救护、抢险等特种车辆。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进入公园的车辆应当按照规定的速度和路线行驶，并在指定地点停放。执行紧急任务的特种车辆除外。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设有自行车道的公园，应当允许未安装动力装置的自行车进入。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第三十条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公园内禁止下列行为：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（一）散发商业性广告宣传品、流动兜售物品；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（二）翻越围墙、栏杆、绿篱，攀爬建筑、雕塑等；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（三）在非指定区域游泳、垂钓、宿营、洗涤污物等；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（四）非法捕捉、伤害动物，擅自放生动物等；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（五）违反规定携带犬只入园；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（六）酗酒、赌博或者进行算命、占卜等封建迷信活动；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（七）其他违反法律、法规和公序良俗的行为。</w:t>
      </w:r>
    </w:p>
    <w:p>
      <w:pPr>
        <w:rPr>
          <w:rFonts w:ascii="Times New Roman" w:eastAsia="宋体" w:hAnsi="Times New Roman" w:cs="宋体"/>
          <w:szCs w:val="32"/>
        </w:rPr>
      </w:pPr>
    </w:p>
    <w:p>
      <w:pPr>
        <w:jc w:val="center"/>
        <w:rPr>
          <w:rFonts w:ascii="Times New Roman" w:eastAsia="黑体" w:hAnsi="Times New Roman" w:cs="黑体"/>
          <w:szCs w:val="32"/>
        </w:rPr>
      </w:pPr>
      <w:r>
        <w:rPr>
          <w:rFonts w:ascii="Times New Roman" w:eastAsia="黑体" w:hAnsi="Times New Roman" w:cs="黑体" w:hint="eastAsia"/>
          <w:szCs w:val="32"/>
        </w:rPr>
        <w:t>第四章　法律责任</w:t>
      </w:r>
    </w:p>
    <w:p>
      <w:pPr>
        <w:rPr>
          <w:rFonts w:ascii="Times New Roman" w:eastAsia="宋体" w:hAnsi="Times New Roman" w:cs="宋体"/>
          <w:szCs w:val="32"/>
        </w:rPr>
      </w:pP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第三十一条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违反本条例规定的行为，法律、法规已有法律责任规定的，从其规定。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第三十二条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违反本条例第二十九条规定，车辆擅自进入公园，或者进入公园的车辆未按照规定行驶、停放的，由园林绿化主管部门责令改正；拒不改正的，处五十元以上二百元以下罚款。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第三十三条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违反本条例第三十条第一项、第六项规定，劝阻无效的，由园林绿化主管部门给予警告，责令改正；拒不改正的，处二十元以上五十元以下罚款。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违反本条例第三十条第二项、第三项规定，劝阻无效的，由园林绿化主管部门给予警告，并处二十元以上五十元以下罚款；造成损失的，依法承担赔偿责任。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hAnsi="Times New Roman" w:cs="仿宋_GB2312" w:hint="eastAsia"/>
          <w:sz w:val="32"/>
          <w:szCs w:val="32"/>
        </w:rPr>
        <w:t>违反本条例第三十条第四项规定，由园林绿化主管部门责令改正；拒不改正的，处五十元以上二百元以下罚款。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第三十四条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市、县（市）、区园林绿化主管部门和其他有关部门、公园管理机构及其工作人员在公园管理过程中滥用职权、玩忽职守、徇私舞弊的，对直接负责的主管人员和其他直接责任人员依法给予处分；构成犯罪的，依法追究刑事责任。</w:t>
      </w:r>
    </w:p>
    <w:p>
      <w:pPr>
        <w:rPr>
          <w:rFonts w:ascii="Times New Roman" w:eastAsia="宋体" w:hAnsi="Times New Roman" w:cs="宋体"/>
          <w:szCs w:val="32"/>
        </w:rPr>
      </w:pPr>
    </w:p>
    <w:p>
      <w:pPr>
        <w:jc w:val="center"/>
        <w:rPr>
          <w:rFonts w:ascii="Times New Roman" w:eastAsia="黑体" w:hAnsi="Times New Roman" w:cs="黑体"/>
          <w:szCs w:val="32"/>
        </w:rPr>
      </w:pPr>
      <w:r>
        <w:rPr>
          <w:rFonts w:ascii="Times New Roman" w:eastAsia="黑体" w:hAnsi="Times New Roman" w:cs="黑体" w:hint="eastAsia"/>
          <w:szCs w:val="32"/>
        </w:rPr>
        <w:t>第五章　附　　则</w:t>
      </w:r>
    </w:p>
    <w:p>
      <w:pPr>
        <w:rPr>
          <w:rFonts w:ascii="Times New Roman" w:eastAsia="宋体" w:hAnsi="Times New Roman" w:cs="宋体"/>
          <w:szCs w:val="32"/>
        </w:rPr>
      </w:pP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第三十五条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开发区、示范区公园的规划、建设、服务和管理，参照本条例执行。</w:t>
      </w:r>
    </w:p>
    <w:p>
      <w:pPr>
        <w:ind w:firstLine="640" w:firstLineChars="200"/>
        <w:rPr>
          <w:rFonts w:ascii="Times New Roman" w:hAnsi="Times New Roman" w:cs="仿宋_GB2312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第三十六条</w:t>
      </w:r>
      <w:r>
        <w:rPr>
          <w:rFonts w:ascii="Times New Roman" w:hAnsi="Times New Roman" w:cs="仿宋_GB2312" w:hint="eastAsia"/>
          <w:sz w:val="32"/>
          <w:szCs w:val="32"/>
        </w:rPr>
        <w:t>　</w:t>
      </w:r>
      <w:r>
        <w:rPr>
          <w:rFonts w:ascii="Times New Roman" w:hAnsi="Times New Roman" w:cs="仿宋_GB2312" w:hint="eastAsia"/>
          <w:sz w:val="32"/>
          <w:szCs w:val="32"/>
        </w:rPr>
        <w:t>本条例自2025年1月1日起施行。</w:t>
      </w:r>
    </w:p>
    <w:sectPr>
      <w:footerReference w:type="even" r:id="rId4"/>
      <w:footerReference w:type="default" r:id="rId5"/>
      <w:pgSz w:w="11906" w:h="16838"/>
      <w:pgMar w:top="2098" w:right="1474" w:bottom="1984" w:left="1588" w:header="851" w:footer="1474" w:gutter="0"/>
      <w:cols w:num="1" w:space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黑体_GBK"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ˎ̥"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SI小标宋-GB18030"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幼线_GBK">
    <w:panose1 w:val="02000000000000000000"/>
    <w:charset w:val="86"/>
    <w:family w:val="auto"/>
    <w:pitch w:val="default"/>
    <w:sig w:usb0="A00002BF" w:usb1="08CF7CFA" w:usb2="0000000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DC37B30">
    <w:pPr>
      <w:pStyle w:val="Footer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　－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6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2F08FD9E">
    <w:pPr>
      <w:pStyle w:val="Footer"/>
      <w:wordWrap w:val="0"/>
      <w:jc w:val="right"/>
      <w:rPr>
        <w:rFonts w:eastAsia="宋体"/>
      </w:rPr>
    </w:pPr>
    <w:r>
      <w:rPr>
        <w:rFonts w:ascii="宋体" w:eastAsia="宋体" w:hAnsi="宋体" w:hint="eastAsia"/>
        <w:sz w:val="28"/>
        <w:szCs w:val="28"/>
      </w:rPr>
      <w:t>－</w:t>
    </w: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1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8"/>
        <w:szCs w:val="28"/>
      </w:rPr>
      <w:t>－　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bordersDoNotSurroundHeader/>
  <w:bordersDoNotSurroundFooter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3F"/>
    <w:rsid w:val="00005CBA"/>
    <w:rsid w:val="00067A46"/>
    <w:rsid w:val="000B3473"/>
    <w:rsid w:val="000D062B"/>
    <w:rsid w:val="000E703F"/>
    <w:rsid w:val="000F0A3D"/>
    <w:rsid w:val="000F7DA8"/>
    <w:rsid w:val="00131BA9"/>
    <w:rsid w:val="0013352A"/>
    <w:rsid w:val="0016100C"/>
    <w:rsid w:val="00166DBD"/>
    <w:rsid w:val="00194C5F"/>
    <w:rsid w:val="001D56C5"/>
    <w:rsid w:val="001E2980"/>
    <w:rsid w:val="00226845"/>
    <w:rsid w:val="002434D9"/>
    <w:rsid w:val="002447F6"/>
    <w:rsid w:val="00247B39"/>
    <w:rsid w:val="002607B9"/>
    <w:rsid w:val="00265F71"/>
    <w:rsid w:val="002E3D11"/>
    <w:rsid w:val="002F77E5"/>
    <w:rsid w:val="00307CD3"/>
    <w:rsid w:val="00315BE5"/>
    <w:rsid w:val="003460A0"/>
    <w:rsid w:val="00353AD7"/>
    <w:rsid w:val="003A0332"/>
    <w:rsid w:val="003F636B"/>
    <w:rsid w:val="00420DB2"/>
    <w:rsid w:val="0044207F"/>
    <w:rsid w:val="0048283C"/>
    <w:rsid w:val="004D5710"/>
    <w:rsid w:val="004F542C"/>
    <w:rsid w:val="00550A4A"/>
    <w:rsid w:val="005538C9"/>
    <w:rsid w:val="005667BC"/>
    <w:rsid w:val="005A4A7E"/>
    <w:rsid w:val="005C49EF"/>
    <w:rsid w:val="005F0A94"/>
    <w:rsid w:val="00610597"/>
    <w:rsid w:val="00610663"/>
    <w:rsid w:val="00616EB4"/>
    <w:rsid w:val="0066351E"/>
    <w:rsid w:val="00691FA8"/>
    <w:rsid w:val="006A6786"/>
    <w:rsid w:val="006B2EDC"/>
    <w:rsid w:val="006C7885"/>
    <w:rsid w:val="006D3381"/>
    <w:rsid w:val="006E600C"/>
    <w:rsid w:val="00785C4E"/>
    <w:rsid w:val="007A6644"/>
    <w:rsid w:val="0082159D"/>
    <w:rsid w:val="00834B22"/>
    <w:rsid w:val="008351B6"/>
    <w:rsid w:val="008503CF"/>
    <w:rsid w:val="00867A37"/>
    <w:rsid w:val="008A10A6"/>
    <w:rsid w:val="008D32FC"/>
    <w:rsid w:val="00937399"/>
    <w:rsid w:val="009D4E62"/>
    <w:rsid w:val="00A07177"/>
    <w:rsid w:val="00A87604"/>
    <w:rsid w:val="00B12059"/>
    <w:rsid w:val="00B32293"/>
    <w:rsid w:val="00B718F5"/>
    <w:rsid w:val="00B90B92"/>
    <w:rsid w:val="00BB0938"/>
    <w:rsid w:val="00BB259A"/>
    <w:rsid w:val="00BC1DEF"/>
    <w:rsid w:val="00BC4088"/>
    <w:rsid w:val="00BF513D"/>
    <w:rsid w:val="00C16EFC"/>
    <w:rsid w:val="00C97FAE"/>
    <w:rsid w:val="00CC1CE5"/>
    <w:rsid w:val="00CC393A"/>
    <w:rsid w:val="00D0095F"/>
    <w:rsid w:val="00D50578"/>
    <w:rsid w:val="00D625F1"/>
    <w:rsid w:val="00D64B65"/>
    <w:rsid w:val="00D677FE"/>
    <w:rsid w:val="00DB69C0"/>
    <w:rsid w:val="00DB7DE9"/>
    <w:rsid w:val="00DC4D4C"/>
    <w:rsid w:val="00DD7D16"/>
    <w:rsid w:val="00EA2922"/>
    <w:rsid w:val="00ED7C16"/>
    <w:rsid w:val="00EE2B0F"/>
    <w:rsid w:val="00EE52D1"/>
    <w:rsid w:val="00F352BC"/>
    <w:rsid w:val="00F4604E"/>
    <w:rsid w:val="00F53731"/>
    <w:rsid w:val="00F72984"/>
    <w:rsid w:val="00F7674E"/>
    <w:rsid w:val="00F97604"/>
    <w:rsid w:val="00FA7EE2"/>
    <w:rsid w:val="00FD0030"/>
    <w:rsid w:val="02CF4CE8"/>
    <w:rsid w:val="04156BFD"/>
    <w:rsid w:val="05063D7F"/>
    <w:rsid w:val="05A5708C"/>
    <w:rsid w:val="09A34AE0"/>
    <w:rsid w:val="0C00483C"/>
    <w:rsid w:val="0D9804AC"/>
    <w:rsid w:val="0DDA791E"/>
    <w:rsid w:val="123353A1"/>
    <w:rsid w:val="130F49E2"/>
    <w:rsid w:val="13936861"/>
    <w:rsid w:val="17977775"/>
    <w:rsid w:val="1D927673"/>
    <w:rsid w:val="208F6602"/>
    <w:rsid w:val="21641450"/>
    <w:rsid w:val="2200260F"/>
    <w:rsid w:val="226A2E83"/>
    <w:rsid w:val="24F5659E"/>
    <w:rsid w:val="251610A0"/>
    <w:rsid w:val="26705BD1"/>
    <w:rsid w:val="26736BAE"/>
    <w:rsid w:val="298A635B"/>
    <w:rsid w:val="2C286CBB"/>
    <w:rsid w:val="2EC9480B"/>
    <w:rsid w:val="37702892"/>
    <w:rsid w:val="3C460065"/>
    <w:rsid w:val="3C527DA1"/>
    <w:rsid w:val="3CF47A8D"/>
    <w:rsid w:val="3D5B2BB6"/>
    <w:rsid w:val="3DE63740"/>
    <w:rsid w:val="3E267C4F"/>
    <w:rsid w:val="3FB419F3"/>
    <w:rsid w:val="40400BE3"/>
    <w:rsid w:val="4150251C"/>
    <w:rsid w:val="442624E3"/>
    <w:rsid w:val="479733DA"/>
    <w:rsid w:val="481351D2"/>
    <w:rsid w:val="4AB1034C"/>
    <w:rsid w:val="5248189E"/>
    <w:rsid w:val="53543565"/>
    <w:rsid w:val="558A062C"/>
    <w:rsid w:val="55D20C3F"/>
    <w:rsid w:val="57CC3356"/>
    <w:rsid w:val="5B8E0527"/>
    <w:rsid w:val="5BE87A71"/>
    <w:rsid w:val="5F066F8F"/>
    <w:rsid w:val="622F12CF"/>
    <w:rsid w:val="69623539"/>
    <w:rsid w:val="6A2E56A6"/>
    <w:rsid w:val="6A464C09"/>
    <w:rsid w:val="6C552A97"/>
    <w:rsid w:val="6D384E6C"/>
    <w:rsid w:val="730257DC"/>
    <w:rsid w:val="775E649E"/>
    <w:rsid w:val="7BB07870"/>
    <w:rsid w:val="7E541E2C"/>
  </w:rsids>
  <w:docVars>
    <w:docVar w:name="commondata" w:val="eyJoZGlkIjoiODNhMzdkNWUzNjk1MjcyMWU0OGRjOWNkZTlmNTgwMWI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 w:semiHidden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 w:semiHidden="0" w:qFormat="1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uiPriority="59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  <w:lang w:val="en-US" w:eastAsia="zh-CN" w:bidi="ar-SA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20" w:after="320" w:line="576" w:lineRule="auto"/>
      <w:jc w:val="center"/>
      <w:outlineLvl w:val="1"/>
    </w:pPr>
    <w:rPr>
      <w:rFonts w:eastAsia="方正黑体_GBK" w:asciiTheme="majorHAnsi" w:hAnsiTheme="majorHAnsi" w:cstheme="majorBidi"/>
      <w:bCs/>
      <w:szCs w:val="32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uiPriority w:val="99"/>
    <w:unhideWhenUsed/>
    <w:qFormat/>
    <w:rPr>
      <w:rFonts w:ascii="宋体" w:hAnsi="Courier New" w:cs="Courier New"/>
      <w:szCs w:val="21"/>
    </w:rPr>
  </w:style>
  <w:style w:type="paragraph" w:styleId="Footer">
    <w:name w:val="footer"/>
    <w:basedOn w:val="Normal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FollowedHyperlink">
    <w:name w:val="FollowedHyperlink"/>
    <w:uiPriority w:val="99"/>
    <w:unhideWhenUsed/>
    <w:qFormat/>
    <w:rPr>
      <w:color w:val="954F72"/>
      <w:u w:val="single"/>
    </w:rPr>
  </w:style>
  <w:style w:type="character" w:styleId="Hyperlink">
    <w:name w:val="Hyperlink"/>
    <w:uiPriority w:val="99"/>
    <w:qFormat/>
    <w:rPr>
      <w:rFonts w:ascii="ˎ̥" w:hAnsi="ˎ̥" w:hint="default"/>
      <w:color w:val="0404B3"/>
      <w:sz w:val="18"/>
      <w:szCs w:val="18"/>
      <w:u w:val="none"/>
    </w:rPr>
  </w:style>
  <w:style w:type="character" w:customStyle="1" w:styleId="Char">
    <w:name w:val="页脚 Char"/>
    <w:link w:val="Footer"/>
    <w:uiPriority w:val="99"/>
    <w:qFormat/>
    <w:rPr>
      <w:sz w:val="18"/>
      <w:szCs w:val="18"/>
    </w:rPr>
  </w:style>
  <w:style w:type="character" w:customStyle="1" w:styleId="Char0">
    <w:name w:val="页眉 Char"/>
    <w:link w:val="Header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184</Characters>
  <Application>Microsoft Office Word</Application>
  <DocSecurity>0</DocSecurity>
  <Lines>87</Lines>
  <Paragraphs>24</Paragraphs>
  <ScaleCrop>false</ScaleCrop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YF-INT6</dc:creator>
  <cp:lastModifiedBy>look</cp:lastModifiedBy>
  <cp:revision>14</cp:revision>
  <cp:lastPrinted>2024-07-19T01:09:00Z</cp:lastPrinted>
  <dcterms:created xsi:type="dcterms:W3CDTF">2017-11-15T02:33:00Z</dcterms:created>
  <dcterms:modified xsi:type="dcterms:W3CDTF">2024-10-09T02:59:59Z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1E4A5E7D82FD4149ACB935FDC986A867_13</vt:lpwstr>
  </property>
  <property fmtid="{D5CDD505-2E9C-101B-9397-08002B2CF9AE}" pid="3" name="KSOProductBuildVer">
    <vt:lpwstr>2052-12.1.0.18276</vt:lpwstr>
  </property>
</Properties>
</file>