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widowControl/>
        <w:jc w:val="center"/>
        <w:rPr>
          <w:rFonts w:ascii="Times New Roman" w:hAnsi="Times New Roman" w:eastAsia="宋体" w:cs="宋体"/>
          <w:color w:val="333333"/>
          <w:sz w:val="44"/>
          <w:szCs w:val="44"/>
          <w:shd w:val="clear" w:color="auto" w:fill="FFFFFF"/>
        </w:rPr>
      </w:pPr>
      <w:r>
        <w:rPr>
          <w:rFonts w:hint="eastAsia" w:ascii="Times New Roman" w:hAnsi="Times New Roman" w:eastAsia="宋体" w:cs="宋体"/>
          <w:color w:val="333333"/>
          <w:sz w:val="44"/>
          <w:szCs w:val="44"/>
          <w:shd w:val="clear" w:color="auto" w:fill="FFFFFF"/>
        </w:rPr>
        <w:t>临夏回族自治州城市机动车停车管理条例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6"/>
          <w:sz w:val="32"/>
          <w:szCs w:val="32"/>
          <w:shd w:val="clear" w:color="auto" w:fill="FFFFFF"/>
        </w:rPr>
        <w:t>（2024年6月25日临夏回族自治州第十六届人民代表大会常务委员会第十九次会议通过　2024年7月26日甘肃省第十四届人民代表大会常务委员会第十次会议批准）</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632" w:leftChars="200" w:firstLine="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632" w:leftChars="200" w:firstLine="0"/>
        <w:jc w:val="both"/>
        <w:textAlignment w:val="auto"/>
        <w:rPr>
          <w:rFonts w:ascii="Times New Roman" w:hAnsi="Times New Roman"/>
          <w:sz w:val="32"/>
        </w:rPr>
      </w:pPr>
      <w:r>
        <w:rPr>
          <w:rFonts w:ascii="Times New Roman" w:hAnsi="Times New Roman" w:eastAsia="楷体_GB2312"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632" w:leftChars="200" w:firstLine="0"/>
        <w:jc w:val="both"/>
        <w:textAlignment w:val="auto"/>
        <w:rPr>
          <w:rFonts w:ascii="Times New Roman" w:hAnsi="Times New Roman"/>
          <w:sz w:val="32"/>
        </w:rPr>
      </w:pPr>
      <w:r>
        <w:rPr>
          <w:rFonts w:ascii="Times New Roman" w:hAnsi="Times New Roman" w:eastAsia="楷体_GB2312" w:cs="楷体_GB2312"/>
          <w:sz w:val="32"/>
        </w:rPr>
        <w:t>第三章　服务与管理</w:t>
      </w:r>
    </w:p>
    <w:p>
      <w:pPr>
        <w:keepNext w:val="0"/>
        <w:keepLines w:val="0"/>
        <w:pageBreakBefore w:val="0"/>
        <w:widowControl w:val="0"/>
        <w:kinsoku/>
        <w:wordWrap/>
        <w:overflowPunct/>
        <w:topLinePunct w:val="0"/>
        <w:autoSpaceDE/>
        <w:autoSpaceDN/>
        <w:bidi w:val="0"/>
        <w:adjustRightInd/>
        <w:snapToGrid/>
        <w:spacing w:line="240" w:lineRule="auto"/>
        <w:ind w:left="632" w:leftChars="200" w:firstLine="0"/>
        <w:jc w:val="both"/>
        <w:textAlignment w:val="auto"/>
        <w:rPr>
          <w:rFonts w:ascii="Times New Roman" w:hAnsi="Times New Roman"/>
          <w:sz w:val="32"/>
        </w:rPr>
      </w:pPr>
      <w:r>
        <w:rPr>
          <w:rFonts w:ascii="Times New Roman" w:hAnsi="Times New Roman" w:eastAsia="楷体_GB2312"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632" w:leftChars="200" w:firstLine="0"/>
        <w:jc w:val="both"/>
        <w:textAlignment w:val="auto"/>
        <w:rPr>
          <w:rFonts w:ascii="Times New Roman" w:hAnsi="Times New Roman"/>
          <w:sz w:val="32"/>
        </w:rPr>
      </w:pPr>
      <w:r>
        <w:rPr>
          <w:rFonts w:ascii="Times New Roman" w:hAnsi="Times New Roman" w:eastAsia="楷体_GB2312" w:cs="楷体_GB2312"/>
          <w:sz w:val="32"/>
        </w:rPr>
        <w:t>第五章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机动车停车管理，规范城市停车秩序，促进城市停车设施建设和综合交通体系协调发展，根据《中华人民共和国道路交通安全法》《中华人民共和国城乡规划法》等法律、法规，结合本自治州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自治州内城市建成区和实行城市化管理的其他区域机动车停车设施规划、建设、使用、管理及其机动车停车管理、服务等活动，适用本条例。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公共交通、道</w:t>
      </w:r>
      <w:bookmarkStart w:id="0" w:name="_GoBack"/>
      <w:bookmarkEnd w:id="0"/>
      <w:r>
        <w:rPr>
          <w:rFonts w:hint="eastAsia" w:ascii="Times New Roman" w:hAnsi="Times New Roman" w:cs="仿宋_GB2312"/>
          <w:sz w:val="32"/>
          <w:szCs w:val="32"/>
        </w:rPr>
        <w:t>路客货运输车辆、特种车辆等专用停车设施的规划、建设、使用、管理及其机动车停车管理、服务等活动，依照有关法律法规以及国家和本省的有关规定执行。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本条例所称机动车停车设施，是指供机动车停放的露天或者室内（含地上和地下）场所，包括公共停车场（库）、专用停车场（库）、道路临时停车泊位以及临时停车场。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公共停车场（库），是指为社会公众提供停车服务的场所，包括独立建设和建设工程配建的公共停车场所。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专用停车场（库），是指为本单位人员、本住宅小区业主或者其他特定人员提供停车服务的场所，包括建设工程配建的专用停车场所、建筑区划内共有部位设置的停车泊位。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道路临时停车泊位，是指在城市道路范围内依法设置的供机动车临时停放的停车泊位。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临时停车场，是指临时设置的停放机动车的场所。</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机动车停车管理遵循政府主导、统筹规划、市场调节、社会参与、共建共享、便民利民、科学管理、协作共治的原则。</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自治州、县（市）人民政府统一领导本行政区域内的机动车停车管理工作，建立综合协调机制，加强停车设施规划、建设、使用和管理工作，依法保障停车设施建设用地与资金投入。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乡（镇）人民政府、街道办事处应当配合有关部门做好本辖区内机动车停车管理、服务等工作，指导村（居）民委员会、业主委员会开展停车管理相关工作。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自治州、县（市）人民政府住房和城乡建设主管部门具体统筹城市机动车停车规划、建设和管理等各项工作，负责公共停车场（库）、专用停车场（库）、临时停车场的建设、监督管理等工作。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自治州、县（市）人民政府公安机关交通管理部门负责道路临时停车泊位的规划、设置、撤除以及道路内停车行为的监督管理等工作。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县（市）人民政府城市管理主管部门负责公共停车场（库）、专用停车场（库）、临时停车场和城市道路外公共区域停车秩序的日常管理等工作。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自治州、县（市）发展改革、自然资源、市场监管、生态环境、交通运输、财政、商务、应急、人防、大数据中心、税务等部门和单位按照各自职责，协同做好机动车停车管理相关工作。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倡导市民选择公共交通，低碳出行。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任何单位或者个人对违反机动车停车设施规划建设和停放管理的行为，都有权劝阻、制止或者向有关部门举报。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自治州、县（市）人民政府及其相关部门、乡（镇）人民政府、街道办事处应当加强机动车停车管理相关法律法规的宣传教育，提高停车管理水平和规范机动车驾驶人停车行为。</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规划与建设</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自治州、县（市）人民政府住房和城乡建设主管部门应当会同发展改革、自然资源、公安机关交通管理、城市管理、交通运输、应急、人防等主管部门，组织编制本辖区机动车停车设施专项规划，报本级人民政府批准后公布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机动车停车设施专项规划，应当依据国土空间总体规划、城市综合交通体系规划，结合城乡建设发展和道路交通安全管理的需要，统筹地上地下资源，明确控制目标、区域布局、中长期建设计划和建设时序，将停车设施与城市交通枢纽相衔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编制机动车停车设施专项规划，应当充分听取公众的意见。经批准后的机动车停车设施专项规划，任何单位和个人不得擅自变更。确需变更的，应当按照原审批程序报批。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县（市）人民政府住房和城乡建设主管部门应当根据机动车停车设施专项规划，制定公共停车场（库）年度建设计划，报县（市）人民政府批准后公布实施。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公共停车场（库）建设应当遵循合理布局、节约集约利用土地原则，充分利用城市道路、广场、学校操场、绿地等资源的地下空间进行开发建设。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利用地下空间单独选址建设公共停车场（库），建设单位应当依法办理相关手续。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人防设施作为公共停车场（库）使用时，应当遵守人民防空工程法律法规，按照人防设计依法实地标注。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自治州、县（市）人民政府自然资源主管部门应当保障公共停车场（库）建设用地，并将土地供应纳入建设用地供应计划。新建停车场（库）项目涉及使用新增建设用地的，应当在土地利用年度计划指标中优先予以安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城市更新改造、功能性搬迁等腾出的土地应当规划一定比例，用于公共停车场（库）建设。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自治州、县（市）人民政府应当加大公共停车场（库）建设投入，安排专项资金用于公共停车场（库）建设。拓宽停车设施建设投资渠道，鼓励和引导社会资本建设公共停车场（库）。</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自治州、县（市）人民政府自然资源主管部门应当按照有关标准规范，根据用地性质和机动车停放需求，合理确定停车设施配建标准。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建设单位应当按照停车设施配建标准和设计规范，配建照明、通讯、排水、通风、消防、视频监控、安全防范等设施，设置无障碍专用停车泊位、无障碍设施和充电设施。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新建、改建、扩建的公共建筑、商业街区、住宅小区、大中型建筑等项目，应当按照标准配套建设停车场（库）。配套建设的停车场（库）应当与主体工程同步设计、同步施工、同时验收、同时交付使用。建筑物改变功能的，应当按照改变功能后的标准配建停车场（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县（市）人民政府应当组织自然资源、住房和城乡建设、城市管理等主管部门对擅自改变用途的停车场（库）进行清理整顿，恢复停车功能。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新建、改建、扩建下列建筑和场所时，应当按照标准补建、增（扩）建停车场（库）：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（一）火车站、机场、码头、汽车站等交通枢纽；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（二）学校、医院、体育馆（场）、影剧院、展览馆、图书馆、博物馆、宗教场所、旅游景点等公共场所；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（三）大（中）型商场、集贸市场、宾馆、饭店等经营性场所；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（四）行政事业单位等场所；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（五）老旧住宅小区；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（六）其他大型公共建筑。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本条前款规定的公共场所、经营性场所以及各类经济园区，尚未配建停车场（库）或者配建停车场（库）达不到标准的，应当根据实际情况补建。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住宅小区内配建的用于停放机动车的停车泊位、车库，建设单位应当首先满足业主的停车需求，其归属由当事人通过出售、附赠或者出租等方式约定。建设单位未出售或者未附赠的停车泊位、车库，业主要求承租的，建设单位应当予以出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建设单位应当在房屋销售时公布住宅小区内停车泊位和车库的所有权、数量及出售、出租的方式。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住宅小区配建的停车泊位不能满足业主停车需求，在不影响道路通行、消防安全且符合相关法律法规的前提下，经业主依法共同决定，可以利用住宅小区内空置场地、道路设置业主共有的停车泊位。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老旧住宅小区等停车供求矛盾突出的重点区域未配建停车场（库）或者未达到停车泊位配建规范要求的，自治州、县（市）人民政府应当督促相关单位实施改造，逐步扩大区域停车容量，综合采取价格调节、资源共享、加强公共交通建设等措施，缓解停车矛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公共待建土地、空闲厂区、边角空地、尚未交付使用的道路等场所闲置的，可以由县（市）人民政府依法设置临时停车场。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县（市）人民政府公安机关交通管理部门依法实施道路临时停车泊位的设置、撤除和管理，并根据道路交通条件和停车需求变化，及时评估和调整。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老旧住宅小区、医院、学校、服务窗口单位等停车供需矛盾突出的区域，停车泊位确实无法满足需求的，在不影响道路通行、消防安全的前提下，公安机关交通管理部门可以设置分时段道路临时停车泊位，并设置警示标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其他单位和个人不得擅自设置、撤除道路临时停车泊位，不得损毁泊位标志标线，不得将停车泊位据为专用。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在以下路段和区域，不得设置道路临时停车泊位：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（一）设置停车泊位后影响车辆、行人通行的路段；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（二）设有禁停标志标线的路段；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（三）公共汽车站、急救站、加油站、消防栓或者消防队（站）门前以及距离上述地点三十米以内的路段，使用上述设施的除外；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（四）消防通道和消防登高面、盲道；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（五）人行道上设置停车泊位剩余宽度不足两米的路段；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（六）不具备停车条件的城镇巷道；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（七）法律、法规规定的其他禁止设置道路临时停车泊位的路段。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已经设置的道路临时停车泊位不符合设置规定的，县（市）人民政府公安机关交通管理部门应当立即撤除并向社会公告。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鼓励企业事业单位、住宅小区和个人利用既有建设用地的地上地下空间建设和运营停车场（库），利用建筑物地面架空层建设和运营停车场（库）。鼓励建设机械式立体停车设施、生态停车设施和其他新型停车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机械式立体停车设施应当符合相关安全监管规定。</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服务与管理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自治州、县（市）人民政府住房和城乡建设主管部门应当会同相关部门采用信息技术建设停车综合管理服务系统，实时公布停车设施分布位置、泊位数量、使用状况和收费标准等信息。</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政府投资建设的公共停车场（库），通过经营权招标或者竞争性谈判等方式公开选择经营主体。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非政府投资的公共停车场（库）及临时停车场（库），按照“谁投资、谁受益”的原则，由投资者经营和管理。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利用业主共有场地设置停车泊位用于经营的，由业主依法共同决定管理方式和经营单位。</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经营性停车设施的经营者应当依法办理相关经营手续，需要备案登记的，应当按照法律法规规定备案登记。</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停车场（库）经营者应当遵守下列规定：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（一）在停车场（库）出入口显著位置明示停车场（库）名称、泊位数量、服务时间、收费标准、计费方式、收费依据、免收停车费情形以及监督投诉电话等内容；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（二）保障照明、计时收费、电子监控、给排水、通讯等设备正常运行，保持场内交通标志标线的清晰、准确、完好；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（三）配备管理人员，指挥机动车有序进出和停放，维护停车秩序；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（四）按照明示的收费标准收费；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（五）制定并落实机动车停放、安全保卫、消防管理等制度和应急预案，发生火灾、盗窃、抢劫及场内交通事故等情况时，应当采取相应紧急措施并及时向有关部门报告；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（六）对残疾人驾驶的专用机动车以及执行任务的军车、警车、消防车、救护车、应急抢险救灾车等法律法规规定的免费停放车辆，免收停车费；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（七）不得在停车场（库）内从事影响车辆安全停放的经营活动；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（八）停车场（库）环境卫生质量符合标准要求；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（九）对停车设施及行车通道路面进行日常维护与修缮；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（十）法律法规规定的其他事项。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道路临时停车泊位的经营者应当遵守前款除第三项、第五项以外的其他规定。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机动车驾驶人在停车设施内停放车辆，应当遵守下列规定：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（一）在允许停放车辆的时段内在停车泊位内停放；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（二）按照标识方向或者道路顺行方向停放；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（三）因交通管制、现场管制、突发事件处置、应急抢险等特殊情况需要车辆驶离的，应当即时驶离；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（四）不得违规占用无障碍停车泊位、充电桩专用停车泊位；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（五）不得装载易燃、易爆、有毒、有害等危险物品进入停车场；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（六）不得占用、堵塞、封闭消防通道、疏散通道和安全出口；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（七）按照规定缴纳停车服务费；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（八）法律法规的其他规定。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已投入使用的停车设施，任何单位和个人不得擅自停止使用或者改作他用。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任何单位和个人不得擅自在城市道路和其他公共区域设置地桩、地锁或者其他障碍物影响机动车停放和行人通行，不得擅自设置停车泊位或者利用公共免费停车泊位收取费用。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停车收费实行政府定价、政府指导价和市场调节价相结合的原则。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实行政府定价、政府指导价的停车收费标准由自治州、县（市）人民政府发展改革主管部门会同住房和城乡建设等主管部门，根据不同区域、不同时段，按照差别化收费的原则制定，通过听证、论证等方式充分征求公众的意见，报本级人民政府批准后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实行政府定价或者政府指导价的停车设施免费停放时间不应低于三十分钟，机械式立体停车设施收费的除外。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实行市场调节价的停车收费标准，停车设施经营者应当依据经营成本和市场供求、竞争状况，遵循合法、公平和诚实信用的原则自主制定。制定、调整停车收费标准，应当按照规定提前向社会公示。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县（市）人民政府市场监管主管部门负责对机动车停车服务收费进行监督检查。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停车设施经营者在收取停车费时应当开具税务发票。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停车设施经营者未按照规定开具发票的，停车人有权拒付停车费。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鼓励有条件的单位或者个人将专用停车场（库）或者停车泊位有偿错时开放共享。</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县（市）人民政府公安机关交通管理部门可以根据法律、法规规定和城市道路交通状况，在客运站点、公共交通枢纽、商业聚集区、学校、幼儿园、医疗机构、公共服务机构等人员聚集区域的道路两侧，设置即停即走区域，用于机动车临时停靠上下乘客。</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举办大型群众性活动，承办者应当协调活动举办场所及周边的停车设施，提供停车服务，并向所在县（市）人民政府公安机关交通管理部门报告。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公安机关交通管理部门应当制定活动举办场所及其周边区域的机动车疏导方案，周边道路有条件的，可以设置临时停车区域，并明确停放时段。</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县（市）人民政府公安机关交通管理部门应当会同城市管理、住房和城乡建设主管部门建立执法联动和协调配合机制，依法查处违法停车行为。</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违反本条例第十六条第一款规定，建设单位将未出售或者未附赠的停车泊位、车库不优先出租给业主的，由县（市）人民政府住房和城乡建设主管部门责令限期改正，没收违法所得；逾期不改正的，处五万元以上十万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违反本条例第十八条第三款规定，擅自设置、撤除道路临时停车泊位、损毁泊位标志标线或者将停车泊位据为专用的，由县（市）人民政府公安机关交通管理部门责令停止违法行为，恢复原状，并处二百元以上二千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违反本条例第二十四条第一款第一项或者第四项规定，未在出入口显著位置明示收费标准、计费方式等内容或者未按照明示的收费标准收费的，由县（市）人民政府市场监管主管部门责令改正，没收违法所得，可以并处五千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违反本条例第二十六条规定，将投入使用的停车设施擅自停止使用或者改作他用的，由县（市）人民政府住房和城乡建设主管部门责令限期改正，并处五千元以上一万元以下罚款。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违反本条例第二十七条规定，擅自在城市道路和其他公共区域设置地桩、地锁或者其他障碍物影响机动车停放和行人通行，擅自设置停车泊位或者利用公共免费停车泊位收取费用的，由县（市）人民政府公安机关交通管理部门和城市管理主管部门根据各自权限责令限期改正，并处二百元以上二千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自治州、县（市）人民政府相关部门的工作人员，在机动车停车管理工作中滥用职权、玩忽职守、徇私舞弊的，依法给予处分；构成犯罪的，依法追究刑事责任。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违反本条例规定的行为，法律、法规已有处罚规定的，依照其规定执行。</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本条例自2024年8月6日起施行。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A5708C"/>
    <w:rsid w:val="09A34AE0"/>
    <w:rsid w:val="0C00483C"/>
    <w:rsid w:val="0D9804AC"/>
    <w:rsid w:val="0DDA791E"/>
    <w:rsid w:val="123353A1"/>
    <w:rsid w:val="13936861"/>
    <w:rsid w:val="15463043"/>
    <w:rsid w:val="17977775"/>
    <w:rsid w:val="19EF2CDE"/>
    <w:rsid w:val="1D927673"/>
    <w:rsid w:val="208F6602"/>
    <w:rsid w:val="21641450"/>
    <w:rsid w:val="2200260F"/>
    <w:rsid w:val="226A2E83"/>
    <w:rsid w:val="24F5659E"/>
    <w:rsid w:val="251610A0"/>
    <w:rsid w:val="26705BD1"/>
    <w:rsid w:val="26736BAE"/>
    <w:rsid w:val="298A635B"/>
    <w:rsid w:val="2C286CB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159</Words>
  <Characters>172</Characters>
  <Lines>87</Lines>
  <Paragraphs>24</Paragraphs>
  <TotalTime>8</TotalTime>
  <ScaleCrop>false</ScaleCrop>
  <LinksUpToDate>false</LinksUpToDate>
  <CharactersWithSpaces>182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2024-09-11T02:43:20Z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DCA11FDB80CF4532A627ECB21C706A7C_13</vt:lpwstr>
  </property>
  <property fmtid="{D5CDD505-2E9C-101B-9397-08002B2CF9AE}" pid="3" name="KSOProductBuildVer">
    <vt:lpwstr>2052-12.1.0.15990</vt:lpwstr>
  </property>
</Properties>
</file>