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包头市河道管理条例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（2012年11月1日包头市第十三届人民代表大会常务委员会第三十七次会议通过　2012年11月29日内蒙古自治区第十一届人民代表大会常务委员会第三十二次会议批准　根据2014年7月31日内蒙古自治区第十二届人民代表大会常务委员会第十一次会议关于批准《包头市人民代表大会常务委员会关于修改部分地方性法规的决定》的决议第一次修正　根据2024年7月25日内蒙古自治区第十四届人民代表大会常务委员会第十一次会议关于批准《包头市人民代表大会常务委员会关于修改〈包头市水土保持条例〉等3件地方性法规的决定》的决议第二次修正）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河道管理，保障防洪安全，维护河道功能，根据《中华人民共和国水法》《中华人民共和国防洪法》《中华人民共和国黄河保护法》《中华人民共和国河道管理条例》《内蒙古自治区河湖保护和管理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本市行政区域内河道（包括堤防、行洪区、湖泊、蓄滞洪区、人工水道）的整治、保护及其监督管理，适用本条例。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本市河道管理，应当坚持中国共产党的领导，以铸牢中华民族共同体意识为工作主线；实行全面规划、综合整治、严格保护、分类管理、分级负责和服从防洪的原则。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市人民政府水行政主管部门是全市河道的主管部门，负责全市河道的监督管理工作，可以委托其设立的监督管理机构负责具体监督管理工作。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旗县区人民政府水行政主管部门是本行政区域河道的主管部门，按照管理权限负责本行政区域内的河道管理工作，并接受市河道主管部门的指导和监督。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包头稀土高新技术产业开发区管理机构按照市人民政府的规定负责所辖区域内的河道管理工作。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公安、财政、自然资源、生态环境、住房和城乡建设、城市管理、交通运输、农牧、文化和旅游、应急管理、林业和草原等行政管理部门和大青山自然保护区管理机构应当按照各自职责，共同做好河道管理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河道管理、整治和堤防维护的经费，按照分级负责的原则，由市和旗县区人民政府根据实际需要列入同级年度财政预算。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和旗县区人民政府及其河道主管部门、苏木乡镇人民政府、街道办事处应当加强河道管理法律法规的宣传教育，普及河道保护的相关知识，引导社会组织和公民自觉遵守河道管理的法律法规，增强防御洪水灾害的意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河道整治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河道主管部门根据经济社会发展与防洪安全需要，编制河道整治与建设规划和年度计划，报同级人民政府审定后组织实施。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河道整治应当符合国家、自治区规定的防洪标准和其他有关技术要求。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河道整治措施主要包括修建维护堤防、险工、护岸、涵闸，疏浚、截污、拓宽等。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河道整治工程项目符合国家、自治区规定的建设工程项目招标范围和规定标准的，应当依法进行招标。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河道整治项目应当编制工程建设方案，按照河道管理权限报送河道主管部门审查同意后，建设单位方可按照基本建设程序履行审批手续。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将河道建设为景观河道的整治项目，应当提前组织专家进行论证和防洪评估，其工程建设方案应当报经市河道主管部门审查同意。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河道整治工程建设方案应当包括整治目标、具体整治措施、完成时间和保障措施等内容。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河道整治工程项目应当严格按照经审查同意的工程建设方案进行。河道主管部门应当对工程建设方案实施情况、施工质量等进行监督检查。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河道整治工程项目的勘察、设计、施工、监理单位和人员，应当具有相应资质和执业资格，并遵守国家和自治区有关技术规范和标准。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河道采砂实行许可证制度，按照科学规划、合理布局、持证采砂、总量控制的原则进行管理。河道采砂应当结合河道整治规划，进行河道疏浚，拓宽行洪断面，消除行洪隐患，保障行洪安全。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河道保护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本市河道分为主要河道和一般河道。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市河道主管部门会同有关行政管理部门对主要河道定期进行普查评估，编制河道名录，载明主要河道的名称及其起止界址，报市人民政府审定。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河道按照下列规定设立管理范围：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有堤防的河道，为两岸堤防之间的水域、滩地、行洪区、堤防、防洪通道及护堤地（哈德门沟、昆都仑河、四道沙河、二道沙河、东河、五当沟、水涧沟、美岱沟等黄河一级支流护堤地为堤防两侧外坡堤脚向外30米，其他河道护堤地为堤防两侧外坡堤脚向外20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（二）无堤防的河道，根据历史最高洪水位或者规划设计洪水位确定。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河道有堤防的河段按照下列规定设立保护范围：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（一）黄河一级支流河道管理范围外30米；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（二）其他河道管理范围外20米。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主要河道的具体管理范围和保护范围，由市河道主管部门按照国家、自治区和本条例有关规定，会同相关行政管理部门和旗县区人民政府负责划定，报经市人民政府审定后，连同河道名录一并向社会公布。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主要河道管理范围、保护范围发生变化的，应当根据前款规定履行相关程序。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主要河道的管理范围和保护范围应当设立界桩。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任何单位和个人不得擅自移动、毁损界桩。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在河道管理范围内，禁止下列行为：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（一）非管理人员操作河道上的涵闸闸门的；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（二）侵占或者毁坏堤防、险工、护岸、涵闸、泵站等水工程设施及其通讯、照明、监测等设施的；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（三）围垦河道，种植阻碍行洪的林木和高秆作物的；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（四）建设妨碍行洪的建筑物、构筑物的；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（五）倾倒矿渣、砂石、煤灰、泥土、垃圾等物体的；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（六）在属于水工程的管理范围内进行爆破、打井、采矿、采石、采砂、取土、挖掘、葬坟的；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（七）法律、法规禁止的其他行为。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在有堤防河道保护范围内不得从事前款第（六）项规定的行为。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城市规划区内的河道禁止采砂。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城市规划区外的河道下列区域内不得采砂：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（一）河床凹岸、堤防险工地段及河道整治工程周边100米以内；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（二）铁路桥及国家级公路桥、引道及防护工程上下游各1000米以内；一般公路桥、城市道路的跨河桥梁、涵洞、引道及防护工程上下游各500米以内；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（三）拦河闸坝、泵站引水口上下游各300米以内；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（四）水文测验断面和设施上下游各1000米以内；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（五）跨河道电缆、高压线的塔（杆）及穿河道管线上下游各200米以内。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编制和审查沿河城镇（村）规划时，应当征求河道主管部门的意见。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建设为景观河道的河段，日常管理维护由建设单位负责，并服从防汛防洪的统一调度管理。景观河道应当在河道名录中公布。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在河道上设置入河排污口，应当在向生态环境部门报送建设项目环境影响评价报告之前经河道主管部门同意。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城市排水管网覆盖的区域，一律不得增设入河排污口。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建设跨河、穿河、穿堤、临河的桥梁、道路、管道、缆线、取水、排水等工程设施以及其他建（构）筑物，应当符合防洪标准、岸线规划和其他技术要求，不得危害堤防安全，影响河势稳定、妨碍行洪畅通。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在蓄滞洪区内建设非防洪建设项目，应当就洪水对建设项目可能产生的影响和建设项目对防洪可能产生的影响作出评价，编制洪水影响评价报告，按照国家、自治区相关要求提出并落实防御措施。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对于河道管理范围和保护范围内依照本条例规定建设的工程设施，河道主管部门有权依法检查；河道主管部门检查时，被检查者应当如实提供有关的情况和资料。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前款规定的工程设施竣工验收时，应当有河道主管部门参加。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工程施工可能影响堤防安全、河道行洪、排灌功能正常发挥的，建设单位应当采取补救措施或者停止施工，造成河道堤防等设施损坏的应当恢复原状或者负责赔偿。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建设项目竣工后，建设单位应当在竣工验收前按照河道管理要求清除临时设施、施工残渣、引道、围堰，平整河床，恢复原貌。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因自然灾害影响河势稳定和防洪安全时，应当暂停河道管理范围内相关活动，并由河道管理部门发布通告和监督检查。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在可能发生地质灾害的河段，禁止从事开山、采石、采矿、开荒等危及山体稳定的活动。山区河道可能发生山体滑坡、崩岸、泥石流等灾害的河段，河道主管部门应当会同自然资源等部门加强监测，设置警示标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河道管理范围和保护范围内的涵闸、泵站以及桥梁、引道等跨河、穿河的工程设施，设施管理单位应当定期检查和维护，制定汛期防洪预案，并服从河道主管部门的安全管理。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主管部门应当会同有关部门对前款规定的设施定期组织安全检查；存在安全隐患的，及时告知设施管理单位采取补救措施。不符合堤防安全要求和防洪要求的，由河道主管部门提出意见，报经同级人民政府责成设施管理单位改建或者拆除。汛期影响防洪安全的，应当服从紧急处理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河道主管部门应当建立河道检查巡查制度，定期或者适时对河道管理范围和保护范围内的活动进行巡查和监督管理。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违反本条例规定的行为，有关法律、法规已经作出具体处罚规定的，从其规定。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违反本条例第十条、第十一条规定，河道整治项目未将工程建设方案报送河道主管部门审查同意，或者未按照经审查同意的工程建设方案施工的，由河道主管部门责令改正，处1万元以上10万元以下罚款。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违反本条例第十七条规定，擅自移动、毁损界桩，由河道主管部门责令改正，恢复原状，处200元以上2000元以下的罚款。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第一款第一项、第二项、第五项、第六项、第二款规定，在河道管理范围内，非管理人员操作河道上的涵闸闸门；侵占或者毁坏堤防、险工、护岸、涵闸、泵站等水工程设施及其通讯、照明、监测等设施的；倾倒矿渣、砂石、煤灰、泥土、垃圾等物体的；在属于水工程的管理范围和有堤防河道保护范围内进行爆破、打井、采矿、采石、采砂、取土、挖掘、葬坟的，由河道主管部门责令停止违法行为，限期恢复原状或者采取其他补救措施，处1万元以上5万元以下罚款；构成犯罪的，依法追究刑事责任；造成损失的，依法承担赔偿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违反本条例第二十七条规定，建设单位未按照河道管理要求清除施工废弃物及相关阻水障碍物、恢复河道原貌的，由河道主管部门责令改正，处1万元以上5万元以下罚款。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河道主管部门及其工作人员有下列行为之一的，对直接负责的主管人员和其他直接责任人员依法给予处分；构成犯罪的，依法追究刑事责任：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（一）河道整治规划和年度计划未能全面实施，造成重大损失的；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（二）未依法全面履行河道整治工程项目、河道管理范围和保护范围内依法实施的工程设施建设项目的监督检查职责的；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（三）玩忽职守、滥用职权、徇私舞弊，对破坏河道行为未依法及时制止和进行处罚的。</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黄河干流及其它跨盟市河道的管理按照国家、自治区的有关规定执行。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本条例自2013年3月1日起施行。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