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聊城市水环境保护条例"/>
      <w:bookmarkEnd w:id="0"/>
      <w:r>
        <w:rPr>
          <w:rFonts w:hint="eastAsia" w:ascii="方正小标宋简体" w:hAnsi="方正小标宋简体" w:eastAsia="方正小标宋简体" w:cs="方正小标宋简体"/>
          <w:color w:val="333333"/>
          <w:sz w:val="44"/>
          <w:szCs w:val="44"/>
          <w:shd w:val="clear" w:color="auto" w:fill="FFFFFF"/>
        </w:rPr>
        <w:t>聊城市水环境保护条例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（2018年1月2日聊城市第十七届人民代表大会常务委员会第七次会议通过　2018年1月23日山东省第十二届人民代表大会常务委员会第三十五次会议批准　根据2024年6月26日聊城市第十八届人民代表大会常务委员会第二十一次会议通过并经2024年7月25日山东省第十四届人民代表大会常务委员会第十次会议批准的《聊城市人民代表大会常务委员会关于修改〈聊城市水环境保护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工业水污染防治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城镇水污染防治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农业和农村水污染防治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水污染事故处置</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水生态保护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饮用水水源保护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地下水保护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特殊水体保护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水生态修复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bookmarkStart w:id="80" w:name="_GoBack"/>
      <w:bookmarkEnd w:id="80"/>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为了保护和改善水环境，保障水体功能和饮用水安全，推进全域水城、生态聊城建设，根据《中华人民共和国环境保护法》《中华人民共和国水污染防治法》等有关法律、法规，结合本市实际，制定本条例。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本条例适用于本市行政区域内的河流、湖泊、运河、渠道、水库、湿地、坑塘等地表水体和地下水体的水环境保护。</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水环境保护应当坚持政府主导、社会参与，科学规划、全面保护，预防为主、防治结合，控源截污、综合治理，生态补偿、损害担责的原则，防治水污染，保护水资源，保障水安全，修复水生态，全面提升水环境。</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市、县（市、区）人民政府应当将水环境保护工作纳入国民经济和社会发展规划，制定年度计划，采取有效对策和措施，持续改善水环境。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建立市、县、乡、村四级水环境保护体系。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加强水环境保护工作，建立水环境保护协调机制，及时解决水环境保护工作中的重大问题。乡镇人民政府、街道办事处应当依法做好水环境保护工作，发现违法行为应当予以制止，并及时报告负有监督管理职责的部门，配合有关部门做好相关监督管理工作。村民委员会、居民委员会应当配合做好水环境保护相关工作。</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市人民政府生态环境主管部门对本行政区域内水环境保护工作实施统一监督管理。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水行政、自然资源和规划、林业、财政、住房和城乡建设、城市管理（综合行政执法）、交通运输、文化和旅游、公安、卫生健康、农业农村、行政审批等部门，依照法律法规的规定，在各自职责范围内对有关水环境保护工作实施监督管理。</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市人民政府生态环境主管部门应当会同相关部门按照国家、省水生态环境的要求和本市实际情况，组织编制市水环境保护规划，报市人民政府批准后实施。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市人民政府水行政主管部门应当会同相关部门，编制徒骇河、马颊河等重点河流聊城段的综合治理专项规划。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市人民政府农业农村主管部门应当会同相关部门，结合环境承载力和农产品保障的要求，编制农业面源污染防治专项规划。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本条第二款、第三款中规定的专项规划应当与市水环境保护规划相协调。</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全面实行河长制。各级河长应当组织开展相关责任水域的水环境保护工作，建立多部门、多方面的联动协作机制，协调和督促有关部门、单位按照各自职责做好入河排污口排查整治、疏浚清淤、保洁绿化、生态修复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建立健全对各级河长的监督考核和责任追究制度。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河长制的具体规定，由市、县（市、区）人民政府制定。</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各级人民政府应当将水环境保护财政经费纳入预算，引导金融机构加大对水环境保护项目的支持力度，鼓励社会资本进入水环境保护领域，建立水环境保护资金投入和保障机制。</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以及街道办事处应当逐级落实水环境保护目标责任制和考核评价制度，将水环境质量改善作为约束性指标。考核结果向社会公开，并作为对被考核单位综合考核评价、水环境保护相关资金分配的依据。</w:t>
      </w:r>
    </w:p>
    <w:p>
      <w:pPr>
        <w:rPr>
          <w:rFonts w:ascii="Times New Roman" w:hAnsi="Times New Roman" w:eastAsia="宋体" w:cs="宋体"/>
          <w:szCs w:val="32"/>
        </w:rPr>
      </w:pPr>
    </w:p>
    <w:p>
      <w:pPr>
        <w:jc w:val="center"/>
        <w:rPr>
          <w:rFonts w:ascii="Times New Roman" w:hAnsi="Times New Roman" w:eastAsia="黑体" w:cs="黑体"/>
          <w:szCs w:val="32"/>
        </w:rPr>
      </w:pPr>
      <w:bookmarkStart w:id="13" w:name="第二章 监督管理"/>
      <w:bookmarkEnd w:id="13"/>
      <w:r>
        <w:rPr>
          <w:rFonts w:hint="eastAsia" w:ascii="Times New Roman" w:hAnsi="Times New Roman" w:eastAsia="黑体" w:cs="黑体"/>
          <w:szCs w:val="32"/>
        </w:rPr>
        <w:t>第二章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排放水污染物，不得超过国家、省制定的水污染物排放标准和重点水污染物排放总量指标。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市人民政府根据省人民政府下达的重点水污染物排放总量控制指标和减排指标的要求，制定年度总量控制实施方案，将总量控制指标和削减计划落实到各县（市、区）人民政府。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排污单位的重点水污染物排放总量控制指标，由市人民政府生态环境主管部门根据本行政区域重点水污染物总量控制指标、排污单位现有排放量和改善水环境质量的需要核定。排污单位排放水污染物，不得超过核定的重点水污染物排放总量控制指标。</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未依法进行环境影响评价的建设项目，不得开工建设。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建设项目的水污染防治设施，应当与主体工程同时设计、同时施工、同时投入使用。水污染防治设施应当符合经批准或者备案的环境影响评价文件的要求。</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市人民政府应当组织有关部门建立跨部门的水环境监测数据网络，纳入智慧聊城建设平台，实现信息共享。</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市人民政府生态环境主管部门负责全市水环境质量和水污染源的统一监督监测，每年发布本市水环境质量状况公报。</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市人民政府生态环境主管部门应当结合本行政区域的环境容量、重点水污染物排放总量控制指标的要求，根据排污单位排放水污染物的种类、数量和浓度等情况，每年确定本行政区域内重点排污单位名录。</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在江河、湖泊新建、改建、扩建排污口的，应当经有管辖权的生态环境主管部门或者流域生态环境监督管理机构同意。未经同意，行政审批部门不予审批其环境影响评价文件。可能影响防洪、供水、堤防安全、河势稳定的入河排污口设置的审批，应当征求有管辖权限的流域管理机构或者水行政部门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黄河流域河道、湖泊新设、改设或者扩大排污口，应当报经有管辖权的生态环境主管部门或者黄河流域生态环境监督管理机构批准。新设、改设或者扩大可能影响防洪、供水、堤防安全、河势稳定的排污口的，审批时应当征求市、县（市、区）人民政府水行政主管部门或者黄河流域管理机构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市、县（市、区）人民政府生态环境主管部门应当对入河排污口进行排查，建立台账，对排污口的位置、责任主体、排入水体、设置审批、监督管理等情况予以登记。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市、县（市、区）人民政府生态环境主管部门应当建立巡查、监测机制，加强对入河排污口的监督检查，及时查处偷排直排、借道排污、私设排污口等违法行为。涉及其他部门职责的，应当及时移交。</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市人民政府应当会同相邻市探索建立流域污染联防联控机制和跨界河流统一预警机制，实现上下游联动协作，共同做好流域和跨界河流污染防治工作。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市人民政府应当建立跨县（市、区）河流水污染防治工作协调协作机制，建立跨行政区界水体断面出水水质考核奖惩制度。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第十七条市、县（市、区）人民政府应当建立健全水环境保护市场准入机制，制定重污染项目市场准入负面清单并向社会公布。对列入负面清单的建设项目，发展和改革、行政审批部门不予立项、核准、备案，行政审批部门不予审批其环境影响评价文件，自然资源和规划、住房和城乡建设等部门不予办理相关手续。</w:t>
      </w:r>
    </w:p>
    <w:p>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对超过重点水污染物排放总量控制指标或者未达到水环境质量改善目标的，由市人民政府或者由市人民政府生态环境主管部门会同有关部门，约谈该县（市、区）、乡镇人民政府的主要负责人，并暂停审批该地区新增重点水污染物排放建设项目的环境影响评价文件。约谈和暂停审批情况应当及时向社会公开。</w:t>
      </w:r>
    </w:p>
    <w:p>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市人民政府生态环境主管部门和其他负有水环境保护监督管理职责的部门，应当通过生态环境主管部门的网站或者其他便于公众知晓的方式，及时公开下列信息：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（一）水环境质量；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（二）各级河长名单；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（三）重污染项目市场准入负面清单；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（四）重点水污染物的种类、排放控制和削减情况；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（五）应当安装水污染物排放自动监测设备的重点排污单位名录；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（六）排放有毒有害水污染物的单位名单；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（七）畜禽养殖禁养区、限养区；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（八）突发水环境污染事件以及应对情况；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（九）水环境行政许可、行政处罚情况；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（十）其他依法应当公开的水环境信息。</w:t>
      </w:r>
    </w:p>
    <w:p>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任何单位和个人都有保护水环境的义务，有权对违法行为进行监督和举报。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应当公布全市统一的举报电话、网络平台、电子邮箱等，明确受理范围和职责，方便公众举报。市人民政府生态环境主管部门接到举报后，应当在办理期限内处理，处理完毕后及时回复举报人，并对举报人信息予以保密。举报事项经查证属实的，市人民政府生态环境主管部门应当按照规定对举报人给予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鼓励公民、法人和其他组织通过捐赠、资助或者志愿服务等形式参与水环境保护活动，支持水环境保护公益事业。</w:t>
      </w:r>
    </w:p>
    <w:p>
      <w:pPr>
        <w:rPr>
          <w:rFonts w:ascii="Times New Roman" w:hAnsi="Times New Roman" w:eastAsia="宋体" w:cs="宋体"/>
          <w:szCs w:val="32"/>
        </w:rPr>
      </w:pPr>
    </w:p>
    <w:p>
      <w:pPr>
        <w:jc w:val="center"/>
        <w:rPr>
          <w:rFonts w:ascii="Times New Roman" w:hAnsi="Times New Roman" w:eastAsia="黑体" w:cs="黑体"/>
          <w:szCs w:val="32"/>
        </w:rPr>
      </w:pPr>
      <w:bookmarkStart w:id="24" w:name="第三章 水污染防治"/>
      <w:bookmarkEnd w:id="24"/>
      <w:r>
        <w:rPr>
          <w:rFonts w:hint="eastAsia" w:ascii="Times New Roman" w:hAnsi="Times New Roman" w:eastAsia="黑体" w:cs="黑体"/>
          <w:szCs w:val="32"/>
        </w:rPr>
        <w:t>第三章　水污染防治</w:t>
      </w:r>
    </w:p>
    <w:p>
      <w:pPr>
        <w:rPr>
          <w:rFonts w:ascii="Times New Roman" w:hAnsi="Times New Roman" w:eastAsia="宋体" w:cs="宋体"/>
          <w:szCs w:val="32"/>
        </w:rPr>
      </w:pPr>
    </w:p>
    <w:p>
      <w:pPr>
        <w:jc w:val="center"/>
        <w:rPr>
          <w:rFonts w:ascii="Times New Roman" w:hAnsi="Times New Roman" w:eastAsia="宋体" w:cs="宋体"/>
          <w:szCs w:val="32"/>
        </w:rPr>
      </w:pPr>
      <w:bookmarkStart w:id="25" w:name="第一节 工业水污染防治"/>
      <w:bookmarkEnd w:id="25"/>
      <w:r>
        <w:rPr>
          <w:rFonts w:hint="eastAsia" w:ascii="Times New Roman" w:hAnsi="Times New Roman" w:eastAsia="宋体" w:cs="宋体"/>
          <w:sz w:val="32"/>
          <w:szCs w:val="32"/>
          <w:lang w:val="en-US"/>
        </w:rPr>
        <w:t>第一节　工业水污染防治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市、县（市、区）人民政府应当转变经济发展方式，推进循环经济和清洁生产，合理规划工业布局，推动工业企业“退城进园”、转型升级，从源头上加强对工业废水的控制。</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排放工业废水的企业应当采取有效措施，收集产生的全部废水，经处理达标后排放。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禁止稀释排放或者以不正常运行污水处理设施等逃避监管的方式偷排工业废水。</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由污水集中处理设施处理工业废水的企业，应当按照国家有关规定对所产生的工业废水进行预处理，达到污水集中处理设施处理工艺要求后方可排放。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工业废水排水管线接入城镇污水管网的，应当符合国家标准规范，并在连接点前设置检查井和可关闭的排污控制装置。发现排放废水达不到国家标准规范要求的，排放工业废水的企业应当立即关闭排污控制装置。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废水排水管线直接接入污水集中处理设施的，污水集中处理设施运营单位应当在工业废水进入污水集中处理设施处设置可关闭的排污控制装置，发现排污超过约定标准的，立即关闭排污控制装置，及时通知排放工业废水的企业，并向本单位主管部门和生态环境部门报告。接到通知和报告的企业、部门应当依法采取相应措施。</w:t>
      </w:r>
    </w:p>
    <w:p>
      <w:pPr>
        <w:rPr>
          <w:rFonts w:ascii="Times New Roman" w:hAnsi="Times New Roman" w:eastAsia="宋体" w:cs="宋体"/>
          <w:szCs w:val="32"/>
        </w:rPr>
      </w:pPr>
    </w:p>
    <w:p>
      <w:pPr>
        <w:jc w:val="center"/>
        <w:rPr>
          <w:rFonts w:ascii="Times New Roman" w:hAnsi="Times New Roman" w:eastAsia="宋体" w:cs="宋体"/>
          <w:szCs w:val="32"/>
        </w:rPr>
      </w:pPr>
      <w:bookmarkStart w:id="29" w:name="第二节 城镇水污染防治"/>
      <w:bookmarkEnd w:id="29"/>
      <w:r>
        <w:rPr>
          <w:rFonts w:hint="eastAsia" w:ascii="Times New Roman" w:hAnsi="Times New Roman" w:eastAsia="宋体" w:cs="宋体"/>
          <w:sz w:val="32"/>
          <w:szCs w:val="32"/>
          <w:lang w:val="en-US"/>
        </w:rPr>
        <w:t>第二节　城镇水污染防治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县（市、区）人民政府应当统筹安排建设城市和乡镇的污水集中处理设施以及配套管网，逐步实现污水管网全覆盖。乡镇人民政府应当建设、使用乡镇污水集中处理设施以及配套管网，防止污水直接排放。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市、县（市、区）人民政府应当将财政投资建设的城镇污水集中处理设施以及配套管网的运营经费纳入预算，及时足额拨付。鼓励社会资本参与城镇污水集中处理设施以及配套管网的建设和运营。</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城镇污水集中处理设施的运营单位应当保障设施的正常运行，保证出水水质达到相关排放标准。城镇污水集中处理设施运营单位的主管部门、生态环境主管部门应当对城镇污水集中处理设施的出水水质和水量进行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城镇污水集中处理设施运营单位不得违反国家规定擅自停止污水集中处理设施运行，偷排偷放未经处理或者处理后不达标的污水。</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在城镇污水管网覆盖范围内从事宾馆、酒店、餐饮、娱乐、车辆维修清洗和洗衣洗浴等经营活动所产生的污水，应当全部纳入城镇污水管网，由城镇污水集中处理设施进行处理。排放餐饮污水的，应当设置符合标准的隔油和残渣过滤设施，并保证设施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在城镇污水管网覆盖范围以外从事前款所列经营活动的，应当自行建设、使用污水处理设施进行处理，保证达标排放；不能达标排放的，应当停止营业，防止排放物污染环境。</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在城镇污水管网覆盖区域新建住宅小区的，建设单位应当同步建设完善的污水管网，与城镇污水管网相连接。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在城镇污水管网未覆盖区域新建住宅小区的，建设单位应当自行建设污水处理设施，保证达标排放。</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城镇污水集中处理设施运营单位或者污泥处理处置单位应当安全处理处置污泥，保证处理处置后的污泥符合国家有关标准，对产生的污泥以及处理处置后的污泥去向、用途、用量等进行跟踪、记录，并向市人民政府生态环境主管部门和市、县（市、区）人民政府城市管理（综合行政执法）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禁止随意倾倒、堆放、丢弃、遗撒污泥。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对污泥进行资源化利用的，应当保证污泥再利用符合相关标准，不得造成二次污染。</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城镇规划范围内新建公共排水管网，应当实行雨水、污水分流，同步建设雨水、污水收集管网。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对已经建成的合流制排水系统，市、县（市、区）、乡镇人民政府应当制定雨水、污水分流改造计划，逐步进行雨水、污水分流改造。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在雨水、污水分流地区，不得将污水排入雨水管网，并防止雨水进入污水管网。</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易发生内涝的城区、乡镇，应当编制、完善城镇内涝防治专项规划和竖向规划，明确雨水径流排放路径，推进雨污分流工程建设，提高雨水管网收集和排放能力，解决管渠泄洪卡脖问题，发挥道路行洪功能，就近河湖排放，确保流得畅、排得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城镇内涝防治应当与海绵城市建设相结合，科学合理安排渗、滞、蓄、净、用、排。</w:t>
      </w:r>
    </w:p>
    <w:p>
      <w:pPr>
        <w:rPr>
          <w:rFonts w:ascii="Times New Roman" w:hAnsi="Times New Roman" w:eastAsia="宋体" w:cs="宋体"/>
          <w:szCs w:val="32"/>
        </w:rPr>
      </w:pPr>
    </w:p>
    <w:p>
      <w:pPr>
        <w:jc w:val="center"/>
        <w:rPr>
          <w:rFonts w:ascii="Times New Roman" w:hAnsi="Times New Roman" w:eastAsia="宋体" w:cs="宋体"/>
          <w:szCs w:val="32"/>
        </w:rPr>
      </w:pPr>
      <w:bookmarkStart w:id="37" w:name="第三节 农业和农村水污染防治"/>
      <w:bookmarkEnd w:id="37"/>
      <w:r>
        <w:rPr>
          <w:rFonts w:hint="eastAsia" w:ascii="Times New Roman" w:hAnsi="Times New Roman" w:eastAsia="宋体" w:cs="宋体"/>
          <w:sz w:val="32"/>
          <w:szCs w:val="32"/>
          <w:lang w:val="en-US"/>
        </w:rPr>
        <w:t>第三节　农业和农村水污染防治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市、县（市、区）、乡镇人民政府应当加强农村环境卫生综合治理，组织相关部门编制农村生活垃圾、生活污水处理及配套设施建设规划，统筹安排资金使用和项目建设。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遵循减量化、资源化、无害化原则，选择适宜的生活垃圾处理技术方案，构建“城乡统筹、技术合理、能力充足、环保达标”的生活垃圾收集处理体系，做好农村生活垃圾的收运处理以及污染防治，防止生活垃圾污染水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新建农村社区应当实行生活污水集中处理。梯次推动未实行生活污水集中处理的村庄因地制宜治理生活污水，并科学选择农村厕所改造模式，解决农村污水直排问题。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市、县（市、区）人民政府应当对农村生活垃圾、生活污水的收集、运输和处置给予财政补助和政策支持。鼓励社会资本投资农村生活垃圾、生活污水集中处理设施建设。</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推广生物防治病虫害、测土配方施肥等先进的农业生产技术，实施农药、化肥减施工程。推广使用符合环境保护标准的地膜，并加强地膜的集中收集、处理。加强秸秆、尾菜等种植业废弃物的规模化收集处理、资源化利用，禁止将秸秆、尾菜等种植业废弃物抛入水体。</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合理布局水产养殖区域，根据养殖水域生态环境，投放适宜养殖品种，推广生态环保的养殖模式，控制和减少饲料、兽药使用，禁止向公共水域排放污染养殖尾水，防止污染公共水域。</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县（市、区）人民政府应当根据环境承载力和功能区水质保护要求，依法划定畜禽养殖禁养区、限养区，并向社会公布。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禁养区内的畜禽养殖场、养殖小区和养殖专业户的养殖场所应当依法关闭或者搬迁，不得继续开展畜禽养殖经营活动。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在限养区内严格控制畜禽养殖场、养殖小区的数量和规模，不得新建小型畜禽养殖场、养殖小区和新发展养殖专业户。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养殖小区应当根据养殖规模和污染防治需要，建设畜禽养殖废弃物污染防治配套设施，或者委托有处理能力的单位对畜禽养殖废弃物进行无害化处理。未建设畜禽养殖废弃物污染防治配套设施、建设的配套设施不合格，也未委托有处理能力的单位对畜禽养殖废弃物进行无害化处理的，畜禽养殖场、养殖小区不得投入生产或者使用。自行建设畜禽养殖废弃物污染防治配套设施的，应当保证其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畜禽养殖废弃物未经无害化处理或者处理后不达标的，不得对外排放。</w:t>
      </w:r>
    </w:p>
    <w:p>
      <w:pPr>
        <w:rPr>
          <w:rFonts w:ascii="Times New Roman" w:hAnsi="Times New Roman" w:eastAsia="宋体" w:cs="宋体"/>
          <w:szCs w:val="32"/>
        </w:rPr>
      </w:pPr>
    </w:p>
    <w:p>
      <w:pPr>
        <w:jc w:val="center"/>
        <w:rPr>
          <w:rFonts w:ascii="Times New Roman" w:hAnsi="Times New Roman" w:eastAsia="宋体" w:cs="宋体"/>
          <w:szCs w:val="32"/>
        </w:rPr>
      </w:pPr>
      <w:bookmarkStart w:id="42" w:name="第四节 水污染事故处置"/>
      <w:bookmarkEnd w:id="42"/>
      <w:r>
        <w:rPr>
          <w:rFonts w:hint="eastAsia" w:ascii="Times New Roman" w:hAnsi="Times New Roman" w:eastAsia="宋体" w:cs="宋体"/>
          <w:sz w:val="32"/>
          <w:szCs w:val="32"/>
          <w:lang w:val="en-US"/>
        </w:rPr>
        <w:t>第四节　水污染事故处置</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市、县（市、区）人民政府应当制定和完善水污染事故应急方案，明确责任主体、预警预报与响应程序、应急处置及保障措施等内容，依法及时公布预警信息。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可能发生水污染事故的企业事业单位，应当制定有关水污染事故的应急方案，并建设事故状态下的水污染防治设施，储备应急救援物资，定期进行演练，做好应急准备。</w:t>
      </w:r>
    </w:p>
    <w:p>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企业事业单位发生或者可能发生水污染事故时，应当立即启动应急方案，采取隔离等应急措施，防止水污染物进入水体，通知可能受到影响的单位和居民，并按照管理权限报告市、县（市、区）人民政府或者市人民政府生态环境主管部门。市人民政府生态环境主管部门接到报告后，应当及时向本级人民政府报告，并抄送有关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市人民政府生态环境主管部门应当及时对水污染事故可能影响的区域进行监测，会同相关部门督促造成事故的企业事业单位妥善处理事故造成的水体污染，及时向社会公开水污染事故处理相关情况。</w:t>
      </w:r>
    </w:p>
    <w:p>
      <w:pPr>
        <w:rPr>
          <w:rFonts w:ascii="Times New Roman" w:hAnsi="Times New Roman" w:eastAsia="宋体" w:cs="宋体"/>
          <w:szCs w:val="32"/>
        </w:rPr>
      </w:pPr>
    </w:p>
    <w:p>
      <w:pPr>
        <w:jc w:val="center"/>
        <w:rPr>
          <w:rFonts w:ascii="Times New Roman" w:hAnsi="Times New Roman" w:eastAsia="黑体" w:cs="黑体"/>
          <w:szCs w:val="32"/>
        </w:rPr>
      </w:pPr>
      <w:bookmarkStart w:id="45" w:name="第四章 水生态保护"/>
      <w:bookmarkEnd w:id="45"/>
      <w:r>
        <w:rPr>
          <w:rFonts w:hint="eastAsia" w:ascii="Times New Roman" w:hAnsi="Times New Roman" w:eastAsia="黑体" w:cs="黑体"/>
          <w:szCs w:val="32"/>
        </w:rPr>
        <w:t>第四章　水生态保护</w:t>
      </w:r>
    </w:p>
    <w:p>
      <w:pPr>
        <w:rPr>
          <w:rFonts w:ascii="Times New Roman" w:hAnsi="Times New Roman" w:eastAsia="宋体" w:cs="宋体"/>
          <w:szCs w:val="32"/>
        </w:rPr>
      </w:pPr>
    </w:p>
    <w:p>
      <w:pPr>
        <w:jc w:val="center"/>
        <w:rPr>
          <w:rFonts w:ascii="Times New Roman" w:hAnsi="Times New Roman" w:eastAsia="宋体" w:cs="宋体"/>
          <w:szCs w:val="32"/>
        </w:rPr>
      </w:pPr>
      <w:bookmarkStart w:id="46" w:name="第一节 饮用水水源保护"/>
      <w:bookmarkEnd w:id="46"/>
      <w:r>
        <w:rPr>
          <w:rFonts w:hint="eastAsia" w:ascii="Times New Roman" w:hAnsi="Times New Roman" w:eastAsia="宋体" w:cs="宋体"/>
          <w:sz w:val="32"/>
          <w:szCs w:val="32"/>
          <w:lang w:val="en-US"/>
        </w:rPr>
        <w:t>第一节　饮用水水源保护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实行饮用水水源保护区制度。对已划定保护区的饮用水水源，除有下列情形外，不得调整饮用水水源保护区范围：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（一）饮用水水源保护区范围与现行饮用水水源保护区划分技术规范有重大冲突的；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（二）饮用水水源保护区范围不能满足饮用水水源水质保护要求的；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（三）取水口、输水渠道等发生重大变化的；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（四）饮用水水源规模等发生重大变化的；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（五）其他根据实际情况确需调整的。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用、备用、规划的饮用水水源，应当依法履行划定报批手续。对不符合地表水功能区划和国家有关标准、规范的要求，不能保障供水安全的在用饮用水水源，市、县（市）人民政府应当予以关闭。关闭前，市人民政府、相关县（市）人民政府应当实施替代供水措施。</w:t>
      </w: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市、县（市、区）应当建设城市应急水源或者备用水源。应急水源或者备用水源应当与常规供水水源保持相对独立，确保水量与水质不会受到相同风险源影响，并且确保能够及时启用。</w:t>
      </w: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使用东阿岩溶地下水的区域，应当建设第二水源，并逐步建设东阿岩溶地下水、第二水源分别供水系统，节约东阿岩溶地下水资源，确保饮用水安全。</w:t>
      </w:r>
    </w:p>
    <w:p>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县（市、区）人民政府应当采取城镇供水管网延伸或者建设跨乡镇、跨村居连片集中供水工程等方式，在农村发展规模集中供水模式，逐步实现城乡供水一体化。</w:t>
      </w:r>
    </w:p>
    <w:p>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供水单位应当按照法律、法规规定的频次和项目对水源水、出厂水、管网水进行检测，建立检测档案。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供水单位主管部门应当支持、督促供水单位建设、完善水质化验室，提高供水单位自我检测能力。</w:t>
      </w:r>
    </w:p>
    <w:p>
      <w:pPr>
        <w:rPr>
          <w:rFonts w:ascii="Times New Roman" w:hAnsi="Times New Roman" w:eastAsia="宋体" w:cs="宋体"/>
          <w:szCs w:val="32"/>
        </w:rPr>
      </w:pPr>
    </w:p>
    <w:p>
      <w:pPr>
        <w:jc w:val="center"/>
        <w:rPr>
          <w:rFonts w:ascii="Times New Roman" w:hAnsi="Times New Roman" w:eastAsia="宋体" w:cs="宋体"/>
          <w:szCs w:val="32"/>
        </w:rPr>
      </w:pPr>
      <w:bookmarkStart w:id="52" w:name="第二节 地下水保护"/>
      <w:bookmarkEnd w:id="52"/>
      <w:r>
        <w:rPr>
          <w:rFonts w:hint="eastAsia" w:ascii="Times New Roman" w:hAnsi="Times New Roman" w:eastAsia="宋体" w:cs="宋体"/>
          <w:sz w:val="32"/>
          <w:szCs w:val="32"/>
          <w:lang w:val="en-US"/>
        </w:rPr>
        <w:t>第二节　地下水保护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市、县（市、区）人民政府应当加强地下水保护，利用雨水、自然融雪、地下径流、河道、渠道、湿地渗透等方式补给地下水。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人工回灌补给地下水，应当符合相关的水质标准，不得造成地下水水质恶化。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市、县（市、区）人民政府水行政主管部门应当会同有关部门，编制本行政区域地下水超采综合治理方案，明确地下水压采目标和措施并组织实施。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过量开采地下水导致水质恶化、水位严重下降、不宜继续开采的，市、县（市、区）人民政府水行政主管部门应当向有批准权限的机关报告，提出划定地下水限制开采区、禁止开采区的建议，采取限制开采或者禁止开采的措施。</w:t>
      </w: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市、县（市、区）人民政府水行政主管部门应当会同自然资源和规划、生态环境部门建立完善地下水监测信息共享机制。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水行政主管部门负责对地下水水量、水位、水质等实施监测。市、县（市、区）人民政府自然资源和规划主管部门负责监测、监督防止地下水过量开采引起的地面沉降和地下水污染造成的地质环境破坏。市人民政府生态环境主管部门负责对地下水污染进行监管，对地下水监测数据进行分析，发布地下水环境质量和污染防治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水行政主管部门应当会同自然资源和规划、生态环境部门，根据地下水的监测情况，及时向本级人民政府提出调整经济结构、产业布局以及其他防止地下水超采、地下水水质恶化的建议。</w:t>
      </w:r>
    </w:p>
    <w:p>
      <w:pPr>
        <w:rPr>
          <w:rFonts w:ascii="Times New Roman" w:hAnsi="Times New Roman" w:eastAsia="宋体" w:cs="宋体"/>
          <w:szCs w:val="32"/>
        </w:rPr>
      </w:pPr>
    </w:p>
    <w:p>
      <w:pPr>
        <w:jc w:val="center"/>
        <w:rPr>
          <w:rFonts w:ascii="Times New Roman" w:hAnsi="Times New Roman" w:eastAsia="宋体" w:cs="宋体"/>
          <w:szCs w:val="32"/>
        </w:rPr>
      </w:pPr>
      <w:bookmarkStart w:id="56" w:name="第三节 特殊水体保护"/>
      <w:bookmarkEnd w:id="56"/>
      <w:r>
        <w:rPr>
          <w:rFonts w:hint="eastAsia" w:ascii="Times New Roman" w:hAnsi="Times New Roman" w:eastAsia="宋体" w:cs="宋体"/>
          <w:sz w:val="32"/>
          <w:szCs w:val="32"/>
          <w:lang w:val="en-US"/>
        </w:rPr>
        <w:t>第三节　特殊水体保护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本市实行特殊水体保护区制度。特殊水体保护区的划定，由生态环境、水行政、自然资源和规划、文化和旅游、住房和城乡建设、农业农村等部门按照各自职责提出划定方案，报有管辖权的市、县（市、区）人民政府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市、县（市、区）人民政府应当在特殊水体保护区边界设立明显的地理界标和警示标志。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本节所称特殊水体，是指东昌湖、茌平金牛湖、东阿洛神湖、高唐鱼丘湖以及经市人民政府确定的具有特殊经济文化价值、重要生态功能价值，需要实行特殊保护的其他水体。</w:t>
      </w:r>
    </w:p>
    <w:p>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市、区）人民政府应当按照不低于国家和省的地表水环境质量标准要求，对特殊水体进行保护，并根据水环境质量状况和保护需要适时调整适用标准。特殊水体水质适用标准的选定和调整由市、县（市、区）人民政府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东昌湖水质适用《地表水环境质量标准》（GB3838-2002），按照不低于Ⅳ类水标准进行保护。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特殊水体管理单位应当加强对特殊水体水质的监管，确保水质达标。</w:t>
      </w:r>
    </w:p>
    <w:p>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特殊水体保护区内禁止以下行为：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（一）新建、改建、扩建排污口；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（二）新建、扩建对水体产生污染的建设项目或者改建建设项目增加排污量；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（三）建设畜禽养殖场、养殖小区，从事畜禽养殖专业经营活动；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（四）以填河（湖）造地、围河（湖）造田等方式侵占和分割水面；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（五）行驶无防污设备或者防污设备不符合国家规定的机动船舶；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（六）围网、利用网箱养殖吃食性鱼类；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（七）洗车、洗衣、涮拖把、清洗宠物以及其他生活物件；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（八）其他污染水质的行为。</w:t>
      </w:r>
    </w:p>
    <w:p>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特殊水体水域内机动船舶应当设置集油或者油水分离装置和废弃物收集装置。鼓励使用以电、天然气等清洁能源为动力的船舶。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特殊水体水域的码头应当设置污染物处理设施。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特殊水体管理单位应当对水面漂浮垃圾、水草、死鱼打捞，船舶污染治理和污染物回收，码头防治污染设施建设和运行等特殊水体保护工作负责。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特殊水体管理单位的主管部门应当会同交通运输主管部门建立严格的监管、评估和考核机制，督促相关单位做好特殊水体保护工作。</w:t>
      </w:r>
    </w:p>
    <w:p>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禁止在特殊水体水域内（含水中小岛、绿地）开展餐饮加工经营活动。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在水域外加工、水域内经营成品餐饮的，应当确保在水域内无加工行为，并将餐饮垃圾全部收集、外运处理，不得污染水体。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在特殊水体周边开展餐饮加工经营活动产生的污水应当全部纳入城镇污水管网。没有城镇污水管网并且不能自行处理达标排放的，不得开展餐饮加工经营活动。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本条所称餐饮加工经营活动，是指以加工食品原材料与售卖同时进行的方式开展餐饮经营活动，即加工和经营餐饮的一体化行为。</w:t>
      </w:r>
    </w:p>
    <w:p>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向特殊水体直接排放污水的区域，应当实施旧城区改造或者截污纳管等工程，彻底消除污水直排。</w:t>
      </w:r>
    </w:p>
    <w:p>
      <w:pPr>
        <w:rPr>
          <w:rFonts w:ascii="Times New Roman" w:hAnsi="Times New Roman" w:eastAsia="宋体" w:cs="宋体"/>
          <w:szCs w:val="32"/>
        </w:rPr>
      </w:pPr>
    </w:p>
    <w:p>
      <w:pPr>
        <w:jc w:val="center"/>
        <w:rPr>
          <w:rFonts w:ascii="Times New Roman" w:hAnsi="Times New Roman" w:eastAsia="宋体" w:cs="宋体"/>
          <w:szCs w:val="32"/>
        </w:rPr>
      </w:pPr>
      <w:bookmarkStart w:id="63" w:name="第四节 水生态修复"/>
      <w:bookmarkEnd w:id="63"/>
      <w:r>
        <w:rPr>
          <w:rFonts w:hint="eastAsia" w:ascii="Times New Roman" w:hAnsi="Times New Roman" w:eastAsia="宋体" w:cs="宋体"/>
          <w:sz w:val="32"/>
          <w:szCs w:val="32"/>
          <w:lang w:val="en-US"/>
        </w:rPr>
        <w:t>第四节　水生态修复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市、县（市、区）人民政府应当建立并完善水环境生态保护补偿机制。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落实水环境生态保护补偿机制应当完善扶持政策，引导和鼓励受益地区和生态保护地区通过自愿协商，采取资金补助、对口协作、产业转移、人才培训、共建园区等方式实施。</w:t>
      </w:r>
    </w:p>
    <w:p>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涉及有毒有害物质排放的搬迁企业，应当对原厂区的环境污染损害进行评估，并制定生态修复方案，经市人民政府生态环境主管部门同意后实施。</w:t>
      </w:r>
    </w:p>
    <w:p>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县（市、区）人民政府相关部门应当按照相关规定，组织开展河湖水面、堤岸、绿化带、景观设施的保洁和管护，建立藻类水草控制、打捞长效机制，推广采用种植水生植物、养殖增殖滤食性鱼类等生态措施，实施清淤疏浚工程，加快河湖水系贯通工程建设，增强水体自净能力。</w:t>
      </w:r>
    </w:p>
    <w:p>
      <w:pPr>
        <w:ind w:firstLine="632" w:firstLineChars="200"/>
        <w:rPr>
          <w:rFonts w:ascii="Times New Roman" w:hAnsi="Times New Roman" w:cs="仿宋_GB2312"/>
          <w:sz w:val="32"/>
          <w:szCs w:val="32"/>
        </w:rPr>
      </w:pPr>
      <w:bookmarkStart w:id="67" w:name="第五十四条"/>
      <w:bookmarkEnd w:id="67"/>
      <w:r>
        <w:rPr>
          <w:rFonts w:hint="eastAsia" w:ascii="Times New Roman" w:hAnsi="Times New Roman" w:eastAsia="黑体" w:cs="黑体"/>
          <w:sz w:val="32"/>
          <w:szCs w:val="32"/>
        </w:rPr>
        <w:t>第五十四条</w:t>
      </w:r>
      <w:r>
        <w:rPr>
          <w:rFonts w:hint="eastAsia" w:ascii="Times New Roman" w:hAnsi="Times New Roman" w:cs="仿宋_GB2312"/>
          <w:sz w:val="32"/>
          <w:szCs w:val="32"/>
        </w:rPr>
        <w:t>　市、县（市、区）人民政府应当对新建和已建成的人工湿地，明确运营管理主体，并将财政投资的人工湿地运营管理经费纳入预算。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人工湿地的运营管理单位应当保证人工湿地的出水水质达到设计标准。</w:t>
      </w:r>
    </w:p>
    <w:p>
      <w:pPr>
        <w:ind w:firstLine="632" w:firstLineChars="200"/>
        <w:rPr>
          <w:rFonts w:ascii="Times New Roman" w:hAnsi="Times New Roman" w:cs="仿宋_GB2312"/>
          <w:sz w:val="32"/>
          <w:szCs w:val="32"/>
        </w:rPr>
      </w:pPr>
      <w:bookmarkStart w:id="68" w:name="第五十五条"/>
      <w:bookmarkEnd w:id="68"/>
      <w:r>
        <w:rPr>
          <w:rFonts w:hint="eastAsia" w:ascii="Times New Roman" w:hAnsi="Times New Roman" w:eastAsia="黑体" w:cs="黑体"/>
          <w:sz w:val="32"/>
          <w:szCs w:val="32"/>
        </w:rPr>
        <w:t>第五十五条</w:t>
      </w:r>
      <w:r>
        <w:rPr>
          <w:rFonts w:hint="eastAsia" w:ascii="Times New Roman" w:hAnsi="Times New Roman" w:cs="仿宋_GB2312"/>
          <w:sz w:val="32"/>
          <w:szCs w:val="32"/>
        </w:rPr>
        <w:t>　市、县（市、区）人民政府应当组织有关部门对自然退化和遭到破坏的湿地进行科学评估，采取栖息地营造、野生生物恢复、水源补充、水体交换、退耕（垦）还湿、污染防治、生物防控等相应措施进行修复。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禁止违反法律规定破坏湿地及其生态功能。</w:t>
      </w:r>
    </w:p>
    <w:p>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市、县（市、区）人民政府应当组织住房和城乡建设、城市管理（综合行政执法）、生态环境、水行政等部门对本行政区域内黑臭水体制定治理计划，将黑臭水体治理纳入河长制，限期消除。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对黑臭水体区域，应当制定治理方案，加强污水管网建设，使区域内产生的污水能够全部及时进入城镇污水管网，实行统一收集、集中处理。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黑臭水体区域尚未建设城镇污水管网的，产生污水的单位应当自行采取污水收集处理措施或者委托有资质的单位进行收集处理，不得直排污水。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已自建污水处理设施的单位应当保证设施正常运行，达标排放，不得停运设施、偷排偷放。</w:t>
      </w:r>
    </w:p>
    <w:p>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市、县（市、区）人民政府相关部门应当按照城镇排水规划的要求，统一建设再生水设施，做到厂网配套，并应当与道路建设和雨水、污水管网建设相协调。市、县（市、区）人民政府水行政主管部门应当将再生水纳入水资源统一配置，合理利用。再生水供水水质应当达到相关利用标准，不得产生二次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机关、企业事业单位，住宅小区、宾馆、娱乐场所，城市绿化、道路清洁、洗车洗浴、建筑施工以及生态景观等，应当采用节水技术、设备和设施，并优先使用再生水。</w:t>
      </w:r>
    </w:p>
    <w:p>
      <w:pPr>
        <w:rPr>
          <w:rFonts w:ascii="Times New Roman" w:hAnsi="Times New Roman" w:eastAsia="宋体" w:cs="宋体"/>
          <w:szCs w:val="32"/>
        </w:rPr>
      </w:pPr>
    </w:p>
    <w:p>
      <w:pPr>
        <w:jc w:val="center"/>
        <w:rPr>
          <w:rFonts w:ascii="Times New Roman" w:hAnsi="Times New Roman" w:eastAsia="黑体" w:cs="黑体"/>
          <w:szCs w:val="32"/>
        </w:rPr>
      </w:pPr>
      <w:bookmarkStart w:id="71" w:name="第五章 法律责任"/>
      <w:bookmarkEnd w:id="71"/>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2" w:name="第五十八条"/>
      <w:bookmarkEnd w:id="72"/>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违反本条例规定的行为，法律、行政法规和山东省地方性法规已经规定法律责任的，适用其规定。</w:t>
      </w:r>
    </w:p>
    <w:p>
      <w:pPr>
        <w:ind w:firstLine="632" w:firstLineChars="200"/>
        <w:rPr>
          <w:rFonts w:ascii="Times New Roman" w:hAnsi="Times New Roman" w:cs="仿宋_GB2312"/>
          <w:sz w:val="32"/>
          <w:szCs w:val="32"/>
        </w:rPr>
      </w:pPr>
      <w:bookmarkStart w:id="73" w:name="第五十九条"/>
      <w:bookmarkEnd w:id="73"/>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六条第一款规定，在城镇污水管网覆盖范围内从事宾馆、酒店、餐饮、娱乐、车辆维修清洗和洗衣洗浴等经营活动所产生的污水，未纳入城镇污水管网的，由市、县（市、区）人民政府城市管理（综合行政执法）部门责令改正、给予警告；逾期不改正或者造成严重后果的，对单位处十万元以上二十万元以下的罚款，对个人处二万元以上十万元以下的罚款；造成损失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六条第一款规定，城镇污水管网覆盖范围内排放餐饮污水，未设置符合标准的隔油和残渣过滤设施或者隔油和残渣过滤设施未正常运行的，责令停止违法行为，对单位处二万元以上十万元以下的罚款，对个人处一千元以上一万元以下的罚款。违法行为发生在城区的，由市、县（市、区）人民政府城市管理（综合行政执法）部门处罚；违法行为发生在城区以外的，由市人民政府生态环境主管部门处罚。</w:t>
      </w:r>
    </w:p>
    <w:p>
      <w:pPr>
        <w:ind w:firstLine="632" w:firstLineChars="200"/>
        <w:rPr>
          <w:rFonts w:ascii="Times New Roman" w:hAnsi="Times New Roman" w:cs="仿宋_GB2312"/>
          <w:sz w:val="32"/>
          <w:szCs w:val="32"/>
        </w:rPr>
      </w:pPr>
      <w:bookmarkStart w:id="74" w:name="第六十条"/>
      <w:bookmarkEnd w:id="74"/>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违反本条例第三十二条规定，将秸秆、尾菜等种植业废弃物抛入水体的，由市、县（市、区）人民政府农业农村主管部门责令改正；拒不改正的，处二百元以上二千元以下的罚款。</w:t>
      </w:r>
    </w:p>
    <w:p>
      <w:pPr>
        <w:ind w:firstLine="632" w:firstLineChars="200"/>
        <w:rPr>
          <w:rFonts w:ascii="Times New Roman" w:hAnsi="Times New Roman" w:cs="仿宋_GB2312"/>
          <w:sz w:val="32"/>
          <w:szCs w:val="32"/>
        </w:rPr>
      </w:pPr>
      <w:bookmarkStart w:id="75" w:name="第六十一条"/>
      <w:bookmarkEnd w:id="75"/>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三十四条第二款规定，畜禽养殖禁养区内的畜禽养殖场、养殖小区和养殖专业户的养殖场所未依法关闭或者搬迁，仍然开展畜禽养殖经营活动的，由市人民政府生态环境主管部门责令停止违法行为；拒不停止违法行为的，处三万元以上十万元以下的罚款，并依法报经有批准权的人民政府批准，责令拆除或者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四条第三款规定，在畜禽养殖限养区内新建小型畜禽养殖场、养殖小区或者新发展养殖专业户的，由市人民政府生态环境主管部门责令停止违法行为；拒不停止违法行为的，处三万元以上五万元以下的罚款，并依法报经有批准权的人民政府批准，责令拆除或者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四条第四款规定，畜禽养殖场、养殖小区未建设畜禽养殖废弃物污染防治配套设施或者自行建设的配套设施不合格，也未委托他人对畜禽养殖废弃物进行无害化处理即投入生产、使用的，或者建设的污染防治配套设施未正常运行的，由市人民政府生态环境主管部门责令停止生产或者使用，可以处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四条第五款规定，畜禽养殖废弃物未经无害化处理或者处理后不达标即对外排放的，由市人民政府生态环境主管部门责令限期治理，可以处五万元以下的罚款；市人民政府生态环境主管部门作出限期治理决定后，应当会同农业农村等有关部门对整改措施的落实情况及时进行核查，并向社会公布核查结果。</w:t>
      </w:r>
    </w:p>
    <w:p>
      <w:pPr>
        <w:ind w:firstLine="632" w:firstLineChars="200"/>
        <w:rPr>
          <w:rFonts w:ascii="Times New Roman" w:hAnsi="Times New Roman" w:cs="仿宋_GB2312"/>
          <w:sz w:val="32"/>
          <w:szCs w:val="32"/>
        </w:rPr>
      </w:pPr>
      <w:bookmarkStart w:id="76" w:name="第六十二条"/>
      <w:bookmarkEnd w:id="76"/>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四十七条第五项规定，在特殊水体保护区内行驶无防污设备或者防污设备不符合国家规定的机动船舶的，由市、县（市、区）人民政府交通运输主管部门责令限期改正，处二千元以上二万元以下的罚款；逾期未改正的，责令船舶临时停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七条第七项规定，在特殊水体保护区内洗车、洗衣、涮拖把、清洗宠物以及其他生活物件的，由市、县（市、区）人民政府城市管理（综合行政执法）部门责令停止违法行为，处二百元以上二千元以下的罚款。</w:t>
      </w:r>
    </w:p>
    <w:p>
      <w:pPr>
        <w:ind w:firstLine="632" w:firstLineChars="200"/>
        <w:rPr>
          <w:rFonts w:ascii="Times New Roman" w:hAnsi="Times New Roman" w:cs="仿宋_GB2312"/>
          <w:sz w:val="32"/>
          <w:szCs w:val="32"/>
        </w:rPr>
      </w:pPr>
      <w:bookmarkStart w:id="77" w:name="第六十三条"/>
      <w:bookmarkEnd w:id="77"/>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四十九条第一款规定，在特殊水体水域内（含水中小岛、绿地）开展餐饮加工经营活动的，由市、县（市、区）人民政府城市管理（综合行政执法）部门责令改正，可以处二万元以上五万元以下的罚款。</w:t>
      </w:r>
    </w:p>
    <w:p>
      <w:pPr>
        <w:rPr>
          <w:rFonts w:ascii="Times New Roman" w:hAnsi="Times New Roman" w:eastAsia="宋体" w:cs="宋体"/>
          <w:szCs w:val="32"/>
        </w:rPr>
      </w:pPr>
    </w:p>
    <w:p>
      <w:pPr>
        <w:jc w:val="center"/>
        <w:rPr>
          <w:rFonts w:ascii="Times New Roman" w:hAnsi="Times New Roman" w:eastAsia="黑体" w:cs="黑体"/>
          <w:szCs w:val="32"/>
        </w:rPr>
      </w:pPr>
      <w:bookmarkStart w:id="78" w:name="第六章 附则"/>
      <w:bookmarkEnd w:id="78"/>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9" w:name="第六十四条"/>
      <w:bookmarkEnd w:id="79"/>
      <w:r>
        <w:rPr>
          <w:rFonts w:hint="eastAsia" w:ascii="Times New Roman" w:hAnsi="Times New Roman" w:eastAsia="黑体" w:cs="黑体"/>
          <w:sz w:val="32"/>
          <w:szCs w:val="32"/>
        </w:rPr>
        <w:t>第六十四条</w:t>
      </w:r>
      <w:r>
        <w:rPr>
          <w:rFonts w:hint="eastAsia" w:ascii="Times New Roman" w:hAnsi="Times New Roman" w:cs="仿宋_GB2312"/>
          <w:sz w:val="32"/>
          <w:szCs w:val="32"/>
        </w:rPr>
        <w:t>　本条例自2018年5月1日起施行。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517316"/>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2025-01-15T05:01:38Z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