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中华人民共和国密码法</w:t>
      </w:r>
      <w:bookmarkEnd w:id="0"/>
    </w:p>
    <w:p>
      <w:pPr>
        <w:ind w:firstLine="632" w:firstLineChars="200"/>
        <w:rPr>
          <w:rFonts w:hint="eastAsia" w:ascii="宋体" w:hAnsi="宋体" w:eastAsia="宋体" w:cs="Arial"/>
          <w:szCs w:val="32"/>
        </w:rPr>
      </w:pPr>
    </w:p>
    <w:p>
      <w:pPr>
        <w:ind w:left="632" w:leftChars="200" w:right="632" w:rightChars="200"/>
        <w:rPr>
          <w:rFonts w:hint="eastAsia" w:ascii="楷体_GB2312" w:hAnsi="Arial" w:eastAsia="楷体_GB2312" w:cs="Arial"/>
          <w:szCs w:val="32"/>
        </w:rPr>
      </w:pPr>
      <w:r>
        <w:rPr>
          <w:rFonts w:hint="eastAsia" w:ascii="楷体_GB2312" w:hAnsi="Arial" w:eastAsia="楷体_GB2312" w:cs="Arial"/>
          <w:szCs w:val="32"/>
        </w:rPr>
        <w:t>（</w:t>
      </w:r>
      <w:bookmarkStart w:id="1" w:name="TitleDescription"/>
      <w:r>
        <w:rPr>
          <w:rFonts w:hint="default" w:ascii="Times New Roman" w:hAnsi="Times New Roman" w:eastAsia="楷体_GB2312" w:cs="Times New Roman"/>
          <w:szCs w:val="32"/>
        </w:rPr>
        <w:t>2019</w:t>
      </w:r>
      <w:r>
        <w:rPr>
          <w:rFonts w:hint="eastAsia" w:ascii="楷体_GB2312" w:eastAsia="楷体_GB2312"/>
          <w:szCs w:val="32"/>
        </w:rPr>
        <w:t>年</w:t>
      </w:r>
      <w:r>
        <w:rPr>
          <w:rFonts w:hint="default" w:ascii="Times New Roman" w:hAnsi="Times New Roman" w:eastAsia="楷体_GB2312" w:cs="Times New Roman"/>
          <w:szCs w:val="32"/>
        </w:rPr>
        <w:t>10</w:t>
      </w:r>
      <w:r>
        <w:rPr>
          <w:rFonts w:hint="eastAsia" w:ascii="楷体_GB2312" w:eastAsia="楷体_GB2312"/>
          <w:szCs w:val="32"/>
        </w:rPr>
        <w:t>月</w:t>
      </w:r>
      <w:r>
        <w:rPr>
          <w:rFonts w:hint="default" w:ascii="Times New Roman" w:hAnsi="Times New Roman" w:eastAsia="楷体_GB2312" w:cs="Times New Roman"/>
          <w:szCs w:val="32"/>
        </w:rPr>
        <w:t>26</w:t>
      </w:r>
      <w:r>
        <w:rPr>
          <w:rFonts w:hint="eastAsia" w:ascii="楷体_GB2312" w:eastAsia="楷体_GB2312"/>
          <w:szCs w:val="32"/>
        </w:rPr>
        <w:t>日第十三届全国人民代表大会常务委员会第十四次会议通过</w:t>
      </w:r>
      <w:bookmarkEnd w:id="1"/>
      <w:r>
        <w:rPr>
          <w:rFonts w:hint="eastAsia" w:ascii="楷体_GB2312" w:hAnsi="Arial" w:eastAsia="楷体_GB2312" w:cs="Arial"/>
          <w:szCs w:val="32"/>
        </w:rPr>
        <w:t>）</w:t>
      </w:r>
    </w:p>
    <w:p>
      <w:pPr>
        <w:ind w:left="632" w:leftChars="200" w:right="632" w:rightChars="200"/>
        <w:rPr>
          <w:rFonts w:hint="eastAsia" w:ascii="楷体_GB2312" w:hAnsi="Arial" w:eastAsia="楷体_GB2312" w:cs="Arial"/>
          <w:szCs w:val="32"/>
        </w:rPr>
      </w:pP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总　　则</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核心密码、普通密码</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商用密码</w:t>
      </w:r>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法律责任</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附　　则</w:t>
      </w:r>
    </w:p>
    <w:p>
      <w:pPr>
        <w:spacing w:line="240" w:lineRule="auto"/>
        <w:ind w:firstLine="0"/>
        <w:jc w:val="both"/>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总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第一条</w:t>
      </w:r>
      <w:r>
        <w:rPr>
          <w:rFonts w:hint="eastAsia" w:ascii="仿宋_GB2312" w:hAnsi="仿宋_GB2312" w:cs="仿宋_GB2312"/>
          <w:sz w:val="32"/>
          <w:lang w:eastAsia="zh-CN"/>
        </w:rPr>
        <w:t>　</w:t>
      </w:r>
      <w:r>
        <w:rPr>
          <w:rFonts w:ascii="仿宋_GB2312" w:hAnsi="仿宋_GB2312" w:eastAsia="仿宋_GB2312" w:cs="仿宋_GB2312"/>
          <w:sz w:val="32"/>
        </w:rPr>
        <w:t>为了规范密码应用和管理，促进密码事业发展，保障网络与信息安全，维护国家安全和社会公共利益，保护公民、法人和其他组织的合法权益，制定本法。</w:t>
      </w:r>
    </w:p>
    <w:p>
      <w:pPr>
        <w:spacing w:line="240" w:lineRule="auto"/>
        <w:ind w:firstLine="640"/>
        <w:jc w:val="both"/>
      </w:pPr>
      <w:r>
        <w:rPr>
          <w:rFonts w:ascii="黑体" w:hAnsi="黑体" w:eastAsia="黑体" w:cs="黑体"/>
          <w:sz w:val="32"/>
        </w:rPr>
        <w:t>第二条</w:t>
      </w:r>
      <w:r>
        <w:rPr>
          <w:rFonts w:hint="eastAsia" w:ascii="仿宋_GB2312" w:hAnsi="仿宋_GB2312" w:cs="仿宋_GB2312"/>
          <w:sz w:val="32"/>
          <w:lang w:eastAsia="zh-CN"/>
        </w:rPr>
        <w:t>　</w:t>
      </w:r>
      <w:r>
        <w:rPr>
          <w:rFonts w:ascii="仿宋_GB2312" w:hAnsi="仿宋_GB2312" w:eastAsia="仿宋_GB2312" w:cs="仿宋_GB2312"/>
          <w:sz w:val="32"/>
        </w:rPr>
        <w:t>本法所称密码，是指采用特定变换的方法对信息等进行加密保护、安全认证的技术、产品和服务。</w:t>
      </w:r>
    </w:p>
    <w:p>
      <w:pPr>
        <w:spacing w:line="240" w:lineRule="auto"/>
        <w:ind w:firstLine="640"/>
        <w:jc w:val="both"/>
      </w:pPr>
      <w:r>
        <w:rPr>
          <w:rFonts w:ascii="黑体" w:hAnsi="黑体" w:eastAsia="黑体" w:cs="黑体"/>
          <w:sz w:val="32"/>
        </w:rPr>
        <w:t>第三条</w:t>
      </w:r>
      <w:r>
        <w:rPr>
          <w:rFonts w:hint="eastAsia" w:ascii="仿宋_GB2312" w:hAnsi="仿宋_GB2312" w:cs="仿宋_GB2312"/>
          <w:sz w:val="32"/>
          <w:lang w:eastAsia="zh-CN"/>
        </w:rPr>
        <w:t>　</w:t>
      </w:r>
      <w:r>
        <w:rPr>
          <w:rFonts w:ascii="仿宋_GB2312" w:hAnsi="仿宋_GB2312" w:eastAsia="仿宋_GB2312" w:cs="仿宋_GB2312"/>
          <w:sz w:val="32"/>
        </w:rPr>
        <w:t>密码工作坚持总体国家安全观，遵循统一领导、分级负责，创新发展、服务大局，依法管理、保障安全的原则。</w:t>
      </w:r>
    </w:p>
    <w:p>
      <w:pPr>
        <w:spacing w:line="240" w:lineRule="auto"/>
        <w:ind w:firstLine="640"/>
        <w:jc w:val="both"/>
      </w:pPr>
      <w:r>
        <w:rPr>
          <w:rFonts w:ascii="黑体" w:hAnsi="黑体" w:eastAsia="黑体" w:cs="黑体"/>
          <w:sz w:val="32"/>
        </w:rPr>
        <w:t>第四条</w:t>
      </w:r>
      <w:r>
        <w:rPr>
          <w:rFonts w:hint="eastAsia" w:ascii="仿宋_GB2312" w:hAnsi="仿宋_GB2312" w:cs="仿宋_GB2312"/>
          <w:sz w:val="32"/>
          <w:lang w:eastAsia="zh-CN"/>
        </w:rPr>
        <w:t>　</w:t>
      </w:r>
      <w:r>
        <w:rPr>
          <w:rFonts w:ascii="仿宋_GB2312" w:hAnsi="仿宋_GB2312" w:eastAsia="仿宋_GB2312" w:cs="仿宋_GB2312"/>
          <w:sz w:val="32"/>
        </w:rPr>
        <w:t>坚持中国共产党对密码工作的领导。中央密码工作领导机构对全国密码工作实行统一领导，制定国家密码工作重大方针政策，统筹协调国家密码重大事项和重要工作，推进国家密码法治建设。</w:t>
      </w:r>
    </w:p>
    <w:p>
      <w:pPr>
        <w:spacing w:line="240" w:lineRule="auto"/>
        <w:ind w:firstLine="640"/>
        <w:jc w:val="both"/>
      </w:pPr>
      <w:r>
        <w:rPr>
          <w:rFonts w:ascii="黑体" w:hAnsi="黑体" w:eastAsia="黑体" w:cs="黑体"/>
          <w:sz w:val="32"/>
        </w:rPr>
        <w:t>第五条</w:t>
      </w:r>
      <w:r>
        <w:rPr>
          <w:rFonts w:hint="eastAsia" w:ascii="仿宋_GB2312" w:hAnsi="仿宋_GB2312" w:cs="仿宋_GB2312"/>
          <w:sz w:val="32"/>
          <w:lang w:eastAsia="zh-CN"/>
        </w:rPr>
        <w:t>　</w:t>
      </w:r>
      <w:r>
        <w:rPr>
          <w:rFonts w:ascii="仿宋_GB2312" w:hAnsi="仿宋_GB2312" w:eastAsia="仿宋_GB2312" w:cs="仿宋_GB2312"/>
          <w:sz w:val="32"/>
        </w:rPr>
        <w:t>国家密码管理部门负责管理全国的密码工作。县级以上地方各级密码管理部门负责管理本行政区域的密码工作。</w:t>
      </w:r>
    </w:p>
    <w:p>
      <w:pPr>
        <w:spacing w:line="240" w:lineRule="auto"/>
        <w:ind w:firstLine="640"/>
        <w:jc w:val="both"/>
      </w:pPr>
      <w:r>
        <w:rPr>
          <w:rFonts w:ascii="仿宋_GB2312" w:hAnsi="仿宋_GB2312" w:eastAsia="仿宋_GB2312" w:cs="仿宋_GB2312"/>
          <w:sz w:val="32"/>
        </w:rPr>
        <w:t>国家机关和涉及密码工作的单位在其职责范围内负责本机关、本单位或者本系统的密码工作。</w:t>
      </w:r>
    </w:p>
    <w:p>
      <w:pPr>
        <w:spacing w:line="240" w:lineRule="auto"/>
        <w:ind w:firstLine="640"/>
        <w:jc w:val="both"/>
      </w:pPr>
      <w:r>
        <w:rPr>
          <w:rFonts w:ascii="黑体" w:hAnsi="黑体" w:eastAsia="黑体" w:cs="黑体"/>
          <w:sz w:val="32"/>
        </w:rPr>
        <w:t>第六条</w:t>
      </w:r>
      <w:r>
        <w:rPr>
          <w:rFonts w:hint="eastAsia" w:ascii="仿宋_GB2312" w:hAnsi="仿宋_GB2312" w:cs="仿宋_GB2312"/>
          <w:sz w:val="32"/>
          <w:lang w:eastAsia="zh-CN"/>
        </w:rPr>
        <w:t>　</w:t>
      </w:r>
      <w:r>
        <w:rPr>
          <w:rFonts w:ascii="仿宋_GB2312" w:hAnsi="仿宋_GB2312" w:eastAsia="仿宋_GB2312" w:cs="仿宋_GB2312"/>
          <w:sz w:val="32"/>
        </w:rPr>
        <w:t>国家对密码实行分类管理。</w:t>
      </w:r>
    </w:p>
    <w:p>
      <w:pPr>
        <w:spacing w:line="240" w:lineRule="auto"/>
        <w:ind w:firstLine="640"/>
        <w:jc w:val="both"/>
      </w:pPr>
      <w:r>
        <w:rPr>
          <w:rFonts w:ascii="仿宋_GB2312" w:hAnsi="仿宋_GB2312" w:eastAsia="仿宋_GB2312" w:cs="仿宋_GB2312"/>
          <w:sz w:val="32"/>
        </w:rPr>
        <w:t>密码分为核心密码、普通密码和商用密码。</w:t>
      </w:r>
    </w:p>
    <w:p>
      <w:pPr>
        <w:spacing w:line="240" w:lineRule="auto"/>
        <w:ind w:firstLine="640"/>
        <w:jc w:val="both"/>
      </w:pPr>
      <w:r>
        <w:rPr>
          <w:rFonts w:ascii="黑体" w:hAnsi="黑体" w:eastAsia="黑体" w:cs="黑体"/>
          <w:sz w:val="32"/>
        </w:rPr>
        <w:t>第七条</w:t>
      </w:r>
      <w:r>
        <w:rPr>
          <w:rFonts w:hint="eastAsia" w:ascii="仿宋_GB2312" w:hAnsi="仿宋_GB2312" w:cs="仿宋_GB2312"/>
          <w:sz w:val="32"/>
          <w:lang w:eastAsia="zh-CN"/>
        </w:rPr>
        <w:t>　</w:t>
      </w:r>
      <w:r>
        <w:rPr>
          <w:rFonts w:ascii="仿宋_GB2312" w:hAnsi="仿宋_GB2312" w:eastAsia="仿宋_GB2312" w:cs="仿宋_GB2312"/>
          <w:sz w:val="32"/>
        </w:rPr>
        <w:t>核心密码、普通密码用于保护国家秘密信息，核心密码保护信息的最高密级为绝密级，普通密码保护信息的最高密级为机密级。</w:t>
      </w:r>
    </w:p>
    <w:p>
      <w:pPr>
        <w:spacing w:line="240" w:lineRule="auto"/>
        <w:ind w:firstLine="640"/>
        <w:jc w:val="both"/>
      </w:pPr>
      <w:r>
        <w:rPr>
          <w:rFonts w:ascii="仿宋_GB2312" w:hAnsi="仿宋_GB2312" w:eastAsia="仿宋_GB2312" w:cs="仿宋_GB2312"/>
          <w:sz w:val="32"/>
        </w:rPr>
        <w:t>核心密码、普通密码属于国家秘密。密码管理部门依照本法和有关法律、行政法规、国家有关规定对核心密码、普通密码实行严格统一管理。</w:t>
      </w:r>
    </w:p>
    <w:p>
      <w:pPr>
        <w:spacing w:line="240" w:lineRule="auto"/>
        <w:ind w:firstLine="640"/>
        <w:jc w:val="both"/>
      </w:pPr>
      <w:r>
        <w:rPr>
          <w:rFonts w:ascii="黑体" w:hAnsi="黑体" w:eastAsia="黑体" w:cs="黑体"/>
          <w:sz w:val="32"/>
        </w:rPr>
        <w:t>第八条</w:t>
      </w:r>
      <w:r>
        <w:rPr>
          <w:rFonts w:hint="eastAsia" w:ascii="仿宋_GB2312" w:hAnsi="仿宋_GB2312" w:cs="仿宋_GB2312"/>
          <w:sz w:val="32"/>
          <w:lang w:eastAsia="zh-CN"/>
        </w:rPr>
        <w:t>　</w:t>
      </w:r>
      <w:r>
        <w:rPr>
          <w:rFonts w:ascii="仿宋_GB2312" w:hAnsi="仿宋_GB2312" w:eastAsia="仿宋_GB2312" w:cs="仿宋_GB2312"/>
          <w:sz w:val="32"/>
        </w:rPr>
        <w:t>商用密码用于保护不属于国家秘密的信息。</w:t>
      </w:r>
    </w:p>
    <w:p>
      <w:pPr>
        <w:spacing w:line="240" w:lineRule="auto"/>
        <w:ind w:firstLine="640"/>
        <w:jc w:val="both"/>
      </w:pPr>
      <w:r>
        <w:rPr>
          <w:rFonts w:ascii="仿宋_GB2312" w:hAnsi="仿宋_GB2312" w:eastAsia="仿宋_GB2312" w:cs="仿宋_GB2312"/>
          <w:sz w:val="32"/>
        </w:rPr>
        <w:t>公民、法人和其他组织可以依法使用商用密码保护网络与信息安全。</w:t>
      </w:r>
    </w:p>
    <w:p>
      <w:pPr>
        <w:spacing w:line="240" w:lineRule="auto"/>
        <w:ind w:firstLine="640"/>
        <w:jc w:val="both"/>
      </w:pPr>
      <w:r>
        <w:rPr>
          <w:rFonts w:ascii="黑体" w:hAnsi="黑体" w:eastAsia="黑体" w:cs="黑体"/>
          <w:sz w:val="32"/>
        </w:rPr>
        <w:t>第九条</w:t>
      </w:r>
      <w:r>
        <w:rPr>
          <w:rFonts w:hint="eastAsia" w:ascii="仿宋_GB2312" w:hAnsi="仿宋_GB2312" w:cs="仿宋_GB2312"/>
          <w:sz w:val="32"/>
          <w:lang w:eastAsia="zh-CN"/>
        </w:rPr>
        <w:t>　</w:t>
      </w:r>
      <w:r>
        <w:rPr>
          <w:rFonts w:ascii="仿宋_GB2312" w:hAnsi="仿宋_GB2312" w:eastAsia="仿宋_GB2312" w:cs="仿宋_GB2312"/>
          <w:sz w:val="32"/>
        </w:rPr>
        <w:t>国家鼓励和支持密码科学技术研究和应用，依法保护密码领域的知识产权，促进密码科学技术进步和创新。</w:t>
      </w:r>
    </w:p>
    <w:p>
      <w:pPr>
        <w:spacing w:line="240" w:lineRule="auto"/>
        <w:ind w:firstLine="640"/>
        <w:jc w:val="both"/>
      </w:pPr>
      <w:r>
        <w:rPr>
          <w:rFonts w:ascii="仿宋_GB2312" w:hAnsi="仿宋_GB2312" w:eastAsia="仿宋_GB2312" w:cs="仿宋_GB2312"/>
          <w:sz w:val="32"/>
        </w:rPr>
        <w:t>国家加强密码人才培养和队伍建设，对在密码工作中作出突出贡献的组织和个人，按照国家有关规定给予表彰和奖励。</w:t>
      </w:r>
    </w:p>
    <w:p>
      <w:pPr>
        <w:spacing w:line="240" w:lineRule="auto"/>
        <w:ind w:firstLine="640"/>
        <w:jc w:val="both"/>
      </w:pPr>
      <w:r>
        <w:rPr>
          <w:rFonts w:ascii="黑体" w:hAnsi="黑体" w:eastAsia="黑体" w:cs="黑体"/>
          <w:sz w:val="32"/>
        </w:rPr>
        <w:t>第十条</w:t>
      </w:r>
      <w:r>
        <w:rPr>
          <w:rFonts w:hint="eastAsia" w:ascii="仿宋_GB2312" w:hAnsi="仿宋_GB2312" w:cs="仿宋_GB2312"/>
          <w:sz w:val="32"/>
          <w:lang w:eastAsia="zh-CN"/>
        </w:rPr>
        <w:t>　</w:t>
      </w:r>
      <w:r>
        <w:rPr>
          <w:rFonts w:ascii="仿宋_GB2312" w:hAnsi="仿宋_GB2312" w:eastAsia="仿宋_GB2312" w:cs="仿宋_GB2312"/>
          <w:sz w:val="32"/>
        </w:rPr>
        <w:t>国家采取多种形式加强密码安全教育，将密码安全教育纳入国民教育体系和公务员教育培训体系，增强公民、法人和其他组织的密码安全意识。</w:t>
      </w:r>
    </w:p>
    <w:p>
      <w:pPr>
        <w:spacing w:line="240" w:lineRule="auto"/>
        <w:ind w:firstLine="640"/>
        <w:jc w:val="both"/>
      </w:pPr>
      <w:r>
        <w:rPr>
          <w:rFonts w:ascii="黑体" w:hAnsi="黑体" w:eastAsia="黑体" w:cs="黑体"/>
          <w:sz w:val="32"/>
        </w:rPr>
        <w:t>第十一条</w:t>
      </w:r>
      <w:r>
        <w:rPr>
          <w:rFonts w:hint="eastAsia" w:ascii="仿宋_GB2312" w:hAnsi="仿宋_GB2312" w:cs="仿宋_GB2312"/>
          <w:sz w:val="32"/>
          <w:lang w:eastAsia="zh-CN"/>
        </w:rPr>
        <w:t>　</w:t>
      </w:r>
      <w:r>
        <w:rPr>
          <w:rFonts w:ascii="仿宋_GB2312" w:hAnsi="仿宋_GB2312" w:eastAsia="仿宋_GB2312" w:cs="仿宋_GB2312"/>
          <w:sz w:val="32"/>
        </w:rPr>
        <w:t>县级以上人民政府应当将密码工作纳入本级国民经济和社会发展规划，所需经费列入本级财政预算。</w:t>
      </w:r>
    </w:p>
    <w:p>
      <w:pPr>
        <w:spacing w:line="240" w:lineRule="auto"/>
        <w:ind w:firstLine="640"/>
        <w:jc w:val="both"/>
      </w:pPr>
      <w:r>
        <w:rPr>
          <w:rFonts w:ascii="黑体" w:hAnsi="黑体" w:eastAsia="黑体" w:cs="黑体"/>
          <w:sz w:val="32"/>
        </w:rPr>
        <w:t>第十二条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任何组织或者个人不得窃取他人加密保护的信息或者非法侵入他人的密码保障系统。</w:t>
      </w:r>
    </w:p>
    <w:p>
      <w:pPr>
        <w:spacing w:line="240" w:lineRule="auto"/>
        <w:ind w:firstLine="640"/>
        <w:jc w:val="both"/>
      </w:pPr>
      <w:r>
        <w:rPr>
          <w:rFonts w:ascii="仿宋_GB2312" w:hAnsi="仿宋_GB2312" w:eastAsia="仿宋_GB2312" w:cs="仿宋_GB2312"/>
          <w:sz w:val="32"/>
        </w:rPr>
        <w:t>任何组织或者个人不得利用密码从事危害国家安全、社会公共利益、他人合法权益等违法犯罪活动。</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核心密码、普通密码</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第十三条</w:t>
      </w:r>
      <w:r>
        <w:rPr>
          <w:rFonts w:hint="eastAsia" w:ascii="仿宋_GB2312" w:hAnsi="仿宋_GB2312" w:cs="仿宋_GB2312"/>
          <w:sz w:val="32"/>
          <w:lang w:eastAsia="zh-CN"/>
        </w:rPr>
        <w:t>　</w:t>
      </w:r>
      <w:r>
        <w:rPr>
          <w:rFonts w:ascii="仿宋_GB2312" w:hAnsi="仿宋_GB2312" w:eastAsia="仿宋_GB2312" w:cs="仿宋_GB2312"/>
          <w:sz w:val="32"/>
        </w:rPr>
        <w:t>国家加强核心密码、普通密码的科学规划、管理和使用，加强制度建设，完善管理措施，增强密码安全保障能力。</w:t>
      </w:r>
    </w:p>
    <w:p>
      <w:pPr>
        <w:spacing w:line="240" w:lineRule="auto"/>
        <w:ind w:firstLine="640"/>
        <w:jc w:val="both"/>
      </w:pPr>
      <w:r>
        <w:rPr>
          <w:rFonts w:ascii="黑体" w:hAnsi="黑体" w:eastAsia="黑体" w:cs="黑体"/>
          <w:sz w:val="32"/>
        </w:rPr>
        <w:t>第十四条</w:t>
      </w:r>
      <w:r>
        <w:rPr>
          <w:rFonts w:hint="eastAsia" w:ascii="仿宋_GB2312" w:hAnsi="仿宋_GB2312" w:cs="仿宋_GB2312"/>
          <w:sz w:val="32"/>
          <w:lang w:eastAsia="zh-CN"/>
        </w:rPr>
        <w:t>　</w:t>
      </w:r>
      <w:r>
        <w:rPr>
          <w:rFonts w:ascii="仿宋_GB2312" w:hAnsi="仿宋_GB2312" w:eastAsia="仿宋_GB2312" w:cs="仿宋_GB2312"/>
          <w:sz w:val="32"/>
        </w:rPr>
        <w:t>在有线、无线通信中传递的国家秘密信息，以及存储、处理国家秘密信息的信息系统，应当依照法律、行政法规和国家有关规定使用核心密码、普通密码进行加密保护、安全认证。</w:t>
      </w:r>
    </w:p>
    <w:p>
      <w:pPr>
        <w:spacing w:line="240" w:lineRule="auto"/>
        <w:ind w:firstLine="640"/>
        <w:jc w:val="both"/>
      </w:pPr>
      <w:r>
        <w:rPr>
          <w:rFonts w:ascii="黑体" w:hAnsi="黑体" w:eastAsia="黑体" w:cs="黑体"/>
          <w:sz w:val="32"/>
        </w:rPr>
        <w:t>第十五条</w:t>
      </w:r>
      <w:r>
        <w:rPr>
          <w:rFonts w:hint="eastAsia" w:ascii="仿宋_GB2312" w:hAnsi="仿宋_GB2312" w:cs="仿宋_GB2312"/>
          <w:sz w:val="32"/>
          <w:lang w:eastAsia="zh-CN"/>
        </w:rPr>
        <w:t>　</w:t>
      </w:r>
      <w:r>
        <w:rPr>
          <w:rFonts w:ascii="仿宋_GB2312" w:hAnsi="仿宋_GB2312" w:eastAsia="仿宋_GB2312" w:cs="仿宋_GB2312"/>
          <w:sz w:val="32"/>
        </w:rPr>
        <w:t>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pPr>
        <w:spacing w:line="240" w:lineRule="auto"/>
        <w:ind w:firstLine="640"/>
        <w:jc w:val="both"/>
      </w:pPr>
      <w:r>
        <w:rPr>
          <w:rFonts w:ascii="黑体" w:hAnsi="黑体" w:eastAsia="黑体" w:cs="黑体"/>
          <w:sz w:val="32"/>
        </w:rPr>
        <w:t>第十六条</w:t>
      </w:r>
      <w:r>
        <w:rPr>
          <w:rFonts w:hint="eastAsia" w:ascii="仿宋_GB2312" w:hAnsi="仿宋_GB2312" w:cs="仿宋_GB2312"/>
          <w:sz w:val="32"/>
          <w:lang w:eastAsia="zh-CN"/>
        </w:rPr>
        <w:t>　</w:t>
      </w:r>
      <w:r>
        <w:rPr>
          <w:rFonts w:ascii="仿宋_GB2312" w:hAnsi="仿宋_GB2312" w:eastAsia="仿宋_GB2312" w:cs="仿宋_GB2312"/>
          <w:sz w:val="32"/>
        </w:rPr>
        <w:t>密码管理部门依法对密码工作机构的核心密码、普通密码工作进行指导、监督和检查，密码工作机构应当配合。</w:t>
      </w:r>
    </w:p>
    <w:p>
      <w:pPr>
        <w:spacing w:line="240" w:lineRule="auto"/>
        <w:ind w:firstLine="640"/>
        <w:jc w:val="both"/>
      </w:pPr>
      <w:r>
        <w:rPr>
          <w:rFonts w:ascii="黑体" w:hAnsi="黑体" w:eastAsia="黑体" w:cs="黑体"/>
          <w:sz w:val="32"/>
        </w:rPr>
        <w:t>第十七条</w:t>
      </w:r>
      <w:r>
        <w:rPr>
          <w:rFonts w:hint="eastAsia" w:ascii="仿宋_GB2312" w:hAnsi="仿宋_GB2312" w:cs="仿宋_GB2312"/>
          <w:sz w:val="32"/>
          <w:lang w:eastAsia="zh-CN"/>
        </w:rPr>
        <w:t>　</w:t>
      </w:r>
      <w:r>
        <w:rPr>
          <w:rFonts w:ascii="仿宋_GB2312" w:hAnsi="仿宋_GB2312" w:eastAsia="仿宋_GB2312" w:cs="仿宋_GB2312"/>
          <w:sz w:val="32"/>
        </w:rPr>
        <w:t>密码管理部门根据工作需要会同有关部门建立核心密码、普通密码的安全监测预警、安全风险评估、信息通报、重大事项会商和应急处置等协作机制，确保核心密码、普通密码安全管理的协同联动和有序高效。</w:t>
      </w:r>
    </w:p>
    <w:p>
      <w:pPr>
        <w:spacing w:line="240" w:lineRule="auto"/>
        <w:ind w:firstLine="640"/>
        <w:jc w:val="both"/>
      </w:pPr>
      <w:r>
        <w:rPr>
          <w:rFonts w:ascii="仿宋_GB2312" w:hAnsi="仿宋_GB2312" w:eastAsia="仿宋_GB2312" w:cs="仿宋_GB2312"/>
          <w:sz w:val="32"/>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pPr>
        <w:spacing w:line="240" w:lineRule="auto"/>
        <w:ind w:firstLine="640"/>
        <w:jc w:val="both"/>
      </w:pPr>
      <w:r>
        <w:rPr>
          <w:rFonts w:ascii="黑体" w:hAnsi="黑体" w:eastAsia="黑体" w:cs="黑体"/>
          <w:sz w:val="32"/>
        </w:rPr>
        <w:t>第十八条</w:t>
      </w:r>
      <w:r>
        <w:rPr>
          <w:rFonts w:hint="eastAsia" w:ascii="仿宋_GB2312" w:hAnsi="仿宋_GB2312" w:cs="仿宋_GB2312"/>
          <w:sz w:val="32"/>
          <w:lang w:eastAsia="zh-CN"/>
        </w:rPr>
        <w:t>　</w:t>
      </w:r>
      <w:r>
        <w:rPr>
          <w:rFonts w:ascii="仿宋_GB2312" w:hAnsi="仿宋_GB2312" w:eastAsia="仿宋_GB2312" w:cs="仿宋_GB2312"/>
          <w:sz w:val="32"/>
        </w:rPr>
        <w:t>国家加强密码工作机构建设，保障其履行工作职责。</w:t>
      </w:r>
    </w:p>
    <w:p>
      <w:pPr>
        <w:spacing w:line="240" w:lineRule="auto"/>
        <w:ind w:firstLine="640"/>
        <w:jc w:val="both"/>
      </w:pPr>
      <w:r>
        <w:rPr>
          <w:rFonts w:ascii="仿宋_GB2312" w:hAnsi="仿宋_GB2312" w:eastAsia="仿宋_GB2312" w:cs="仿宋_GB2312"/>
          <w:sz w:val="32"/>
        </w:rPr>
        <w:t>国家建立适应核心密码、普通密码工作需要的人员录用、选调、保密、考核、培训、待遇、奖惩、交流、退出等管理制度。</w:t>
      </w:r>
    </w:p>
    <w:p>
      <w:pPr>
        <w:spacing w:line="240" w:lineRule="auto"/>
        <w:ind w:firstLine="640"/>
        <w:jc w:val="both"/>
      </w:pPr>
      <w:r>
        <w:rPr>
          <w:rFonts w:ascii="黑体" w:hAnsi="黑体" w:eastAsia="黑体" w:cs="黑体"/>
          <w:sz w:val="32"/>
        </w:rPr>
        <w:t>第十九条</w:t>
      </w:r>
      <w:r>
        <w:rPr>
          <w:rFonts w:hint="eastAsia" w:ascii="仿宋_GB2312" w:hAnsi="仿宋_GB2312" w:cs="仿宋_GB2312"/>
          <w:sz w:val="32"/>
          <w:lang w:eastAsia="zh-CN"/>
        </w:rPr>
        <w:t>　</w:t>
      </w:r>
      <w:r>
        <w:rPr>
          <w:rFonts w:ascii="仿宋_GB2312" w:hAnsi="仿宋_GB2312" w:eastAsia="仿宋_GB2312" w:cs="仿宋_GB2312"/>
          <w:sz w:val="32"/>
        </w:rPr>
        <w:t>密码管理部门因工作需要，按照国家有关规定，可以提请公安、交通运输、海关等部门对核心密码、普通密码有关物品和人员提供免检等便利，有关部门应当予以协助。</w:t>
      </w:r>
    </w:p>
    <w:p>
      <w:pPr>
        <w:spacing w:line="240" w:lineRule="auto"/>
        <w:ind w:firstLine="640"/>
        <w:jc w:val="both"/>
      </w:pPr>
      <w:r>
        <w:rPr>
          <w:rFonts w:ascii="黑体" w:hAnsi="黑体" w:eastAsia="黑体" w:cs="黑体"/>
          <w:sz w:val="32"/>
        </w:rPr>
        <w:t>第二十条</w:t>
      </w:r>
      <w:r>
        <w:rPr>
          <w:rFonts w:hint="eastAsia" w:ascii="仿宋_GB2312" w:hAnsi="仿宋_GB2312" w:cs="仿宋_GB2312"/>
          <w:sz w:val="32"/>
          <w:lang w:eastAsia="zh-CN"/>
        </w:rPr>
        <w:t>　</w:t>
      </w:r>
      <w:r>
        <w:rPr>
          <w:rFonts w:ascii="仿宋_GB2312" w:hAnsi="仿宋_GB2312" w:eastAsia="仿宋_GB2312" w:cs="仿宋_GB2312"/>
          <w:sz w:val="32"/>
        </w:rPr>
        <w:t>密码管理部门和密码工作机构应当建立健全严格的监督和安全审查制度，对其工作人员遵守法律和纪律等情况进行监督，并依法采取必要措施，定期或者不定期组织开展安全审查。</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商用密码</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第二十一条</w:t>
      </w:r>
      <w:r>
        <w:rPr>
          <w:rFonts w:hint="eastAsia" w:ascii="仿宋_GB2312" w:hAnsi="仿宋_GB2312" w:cs="仿宋_GB2312"/>
          <w:sz w:val="32"/>
          <w:lang w:eastAsia="zh-CN"/>
        </w:rPr>
        <w:t>　</w:t>
      </w:r>
      <w:r>
        <w:rPr>
          <w:rFonts w:ascii="仿宋_GB2312" w:hAnsi="仿宋_GB2312" w:eastAsia="仿宋_GB2312" w:cs="仿宋_GB2312"/>
          <w:sz w:val="32"/>
        </w:rPr>
        <w:t>国家鼓励商用密码技术的研究开发、学术交流、成果转化和推广应用，健全统一、开放、竞争、有序的商用密码市场体系，鼓励和促进商用密码产业发展。</w:t>
      </w:r>
    </w:p>
    <w:p>
      <w:pPr>
        <w:spacing w:line="240" w:lineRule="auto"/>
        <w:ind w:firstLine="640"/>
        <w:jc w:val="both"/>
      </w:pPr>
      <w:r>
        <w:rPr>
          <w:rFonts w:ascii="仿宋_GB2312" w:hAnsi="仿宋_GB2312" w:eastAsia="仿宋_GB2312" w:cs="仿宋_GB2312"/>
          <w:sz w:val="32"/>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pPr>
        <w:spacing w:line="240" w:lineRule="auto"/>
        <w:ind w:firstLine="640"/>
        <w:jc w:val="both"/>
      </w:pPr>
      <w:r>
        <w:rPr>
          <w:rFonts w:ascii="仿宋_GB2312" w:hAnsi="仿宋_GB2312" w:eastAsia="仿宋_GB2312" w:cs="仿宋_GB2312"/>
          <w:sz w:val="32"/>
        </w:rPr>
        <w:t>商用密码的科研、生产、销售、服务和进出口，不得损害国家安全、社会公共利益或者他人合法权益。</w:t>
      </w:r>
    </w:p>
    <w:p>
      <w:pPr>
        <w:spacing w:line="240" w:lineRule="auto"/>
        <w:ind w:firstLine="640"/>
        <w:jc w:val="both"/>
      </w:pPr>
      <w:r>
        <w:rPr>
          <w:rFonts w:ascii="黑体" w:hAnsi="黑体" w:eastAsia="黑体" w:cs="黑体"/>
          <w:sz w:val="32"/>
        </w:rPr>
        <w:t>第二十二条</w:t>
      </w:r>
      <w:r>
        <w:rPr>
          <w:rFonts w:hint="eastAsia" w:ascii="仿宋_GB2312" w:hAnsi="仿宋_GB2312" w:cs="仿宋_GB2312"/>
          <w:sz w:val="32"/>
          <w:lang w:eastAsia="zh-CN"/>
        </w:rPr>
        <w:t>　</w:t>
      </w:r>
      <w:r>
        <w:rPr>
          <w:rFonts w:ascii="仿宋_GB2312" w:hAnsi="仿宋_GB2312" w:eastAsia="仿宋_GB2312" w:cs="仿宋_GB2312"/>
          <w:sz w:val="32"/>
        </w:rPr>
        <w:t>国家建立和完善商用密码标准体系。</w:t>
      </w:r>
    </w:p>
    <w:p>
      <w:pPr>
        <w:spacing w:line="240" w:lineRule="auto"/>
        <w:ind w:firstLine="640"/>
        <w:jc w:val="both"/>
      </w:pPr>
      <w:r>
        <w:rPr>
          <w:rFonts w:ascii="仿宋_GB2312" w:hAnsi="仿宋_GB2312" w:eastAsia="仿宋_GB2312" w:cs="仿宋_GB2312"/>
          <w:sz w:val="32"/>
        </w:rPr>
        <w:t>国务院标准化行政主管部门和国家密码管理部门依据各自职责，组织制定商用密码国家标准、行业标准。</w:t>
      </w:r>
    </w:p>
    <w:p>
      <w:pPr>
        <w:spacing w:line="240" w:lineRule="auto"/>
        <w:ind w:firstLine="640"/>
        <w:jc w:val="both"/>
      </w:pPr>
      <w:r>
        <w:rPr>
          <w:rFonts w:ascii="仿宋_GB2312" w:hAnsi="仿宋_GB2312" w:eastAsia="仿宋_GB2312" w:cs="仿宋_GB2312"/>
          <w:sz w:val="32"/>
        </w:rPr>
        <w:t>国家支持社会团体、企业利用自主创新技术制定高于国家标准、行业标准相关技术要求的商用密码团体标准、企业标准。</w:t>
      </w:r>
    </w:p>
    <w:p>
      <w:pPr>
        <w:spacing w:line="240" w:lineRule="auto"/>
        <w:ind w:firstLine="640"/>
        <w:jc w:val="both"/>
      </w:pPr>
      <w:r>
        <w:rPr>
          <w:rFonts w:ascii="黑体" w:hAnsi="黑体" w:eastAsia="黑体" w:cs="黑体"/>
          <w:sz w:val="32"/>
        </w:rPr>
        <w:t>第二十三条</w:t>
      </w:r>
      <w:r>
        <w:rPr>
          <w:rFonts w:hint="eastAsia" w:ascii="仿宋_GB2312" w:hAnsi="仿宋_GB2312" w:cs="仿宋_GB2312"/>
          <w:sz w:val="32"/>
          <w:lang w:eastAsia="zh-CN"/>
        </w:rPr>
        <w:t>　</w:t>
      </w:r>
      <w:r>
        <w:rPr>
          <w:rFonts w:ascii="仿宋_GB2312" w:hAnsi="仿宋_GB2312" w:eastAsia="仿宋_GB2312" w:cs="仿宋_GB2312"/>
          <w:sz w:val="32"/>
        </w:rPr>
        <w:t>国家推动参与商用密码国际标准化活动，参与制定商用密码国际标准，推进商用密码中国标准与国外标准之间的转化运用。</w:t>
      </w:r>
    </w:p>
    <w:p>
      <w:pPr>
        <w:spacing w:line="240" w:lineRule="auto"/>
        <w:ind w:firstLine="640"/>
        <w:jc w:val="both"/>
      </w:pPr>
      <w:r>
        <w:rPr>
          <w:rFonts w:ascii="仿宋_GB2312" w:hAnsi="仿宋_GB2312" w:eastAsia="仿宋_GB2312" w:cs="仿宋_GB2312"/>
          <w:sz w:val="32"/>
        </w:rPr>
        <w:t>国家鼓励企业、社会团体和教育、科研机构等参与商用密码国际标准化活动。</w:t>
      </w:r>
    </w:p>
    <w:p>
      <w:pPr>
        <w:spacing w:line="240" w:lineRule="auto"/>
        <w:ind w:firstLine="640"/>
        <w:jc w:val="both"/>
      </w:pPr>
      <w:r>
        <w:rPr>
          <w:rFonts w:ascii="黑体" w:hAnsi="黑体" w:eastAsia="黑体" w:cs="黑体"/>
          <w:sz w:val="32"/>
        </w:rPr>
        <w:t>第二十四条</w:t>
      </w:r>
      <w:r>
        <w:rPr>
          <w:rFonts w:hint="eastAsia" w:ascii="仿宋_GB2312" w:hAnsi="仿宋_GB2312" w:cs="仿宋_GB2312"/>
          <w:sz w:val="32"/>
          <w:lang w:eastAsia="zh-CN"/>
        </w:rPr>
        <w:t>　</w:t>
      </w:r>
      <w:r>
        <w:rPr>
          <w:rFonts w:ascii="仿宋_GB2312" w:hAnsi="仿宋_GB2312" w:eastAsia="仿宋_GB2312" w:cs="仿宋_GB2312"/>
          <w:sz w:val="32"/>
        </w:rPr>
        <w:t>商用密码从业单位开展商用密码活动，应当符合有关法律、行政法规、商用密码强制性国家标准以及该从业单位公开标准的技术要求。</w:t>
      </w:r>
    </w:p>
    <w:p>
      <w:pPr>
        <w:spacing w:line="240" w:lineRule="auto"/>
        <w:ind w:firstLine="640"/>
        <w:jc w:val="both"/>
      </w:pPr>
      <w:r>
        <w:rPr>
          <w:rFonts w:ascii="仿宋_GB2312" w:hAnsi="仿宋_GB2312" w:eastAsia="仿宋_GB2312" w:cs="仿宋_GB2312"/>
          <w:sz w:val="32"/>
        </w:rPr>
        <w:t>国家鼓励商用密码</w:t>
      </w:r>
      <w:bookmarkStart w:id="2" w:name="_GoBack"/>
      <w:bookmarkEnd w:id="2"/>
      <w:r>
        <w:rPr>
          <w:rFonts w:ascii="仿宋_GB2312" w:hAnsi="仿宋_GB2312" w:eastAsia="仿宋_GB2312" w:cs="仿宋_GB2312"/>
          <w:sz w:val="32"/>
        </w:rPr>
        <w:t>从业单位采用商用密码推荐性国家标准、行业标准，提升商用密码的防护能力，维护用户的合法权益。</w:t>
      </w:r>
    </w:p>
    <w:p>
      <w:pPr>
        <w:spacing w:line="240" w:lineRule="auto"/>
        <w:ind w:firstLine="640"/>
        <w:jc w:val="both"/>
      </w:pPr>
      <w:r>
        <w:rPr>
          <w:rFonts w:ascii="黑体" w:hAnsi="黑体" w:eastAsia="黑体" w:cs="黑体"/>
          <w:sz w:val="32"/>
        </w:rPr>
        <w:t>第二十五条</w:t>
      </w:r>
      <w:r>
        <w:rPr>
          <w:rFonts w:hint="eastAsia" w:ascii="仿宋_GB2312" w:hAnsi="仿宋_GB2312" w:cs="仿宋_GB2312"/>
          <w:sz w:val="32"/>
          <w:lang w:eastAsia="zh-CN"/>
        </w:rPr>
        <w:t>　</w:t>
      </w:r>
      <w:r>
        <w:rPr>
          <w:rFonts w:ascii="仿宋_GB2312" w:hAnsi="仿宋_GB2312" w:eastAsia="仿宋_GB2312" w:cs="仿宋_GB2312"/>
          <w:sz w:val="32"/>
        </w:rPr>
        <w:t>国家推进商用密码检测认证体系建设，制定商用密码检测认证技术规范、规则，鼓励商用密码从业单位自愿接受商用密码检测认证，提升市场竞争力。</w:t>
      </w:r>
    </w:p>
    <w:p>
      <w:pPr>
        <w:spacing w:line="240" w:lineRule="auto"/>
        <w:ind w:firstLine="640"/>
        <w:jc w:val="both"/>
      </w:pPr>
      <w:r>
        <w:rPr>
          <w:rFonts w:ascii="仿宋_GB2312" w:hAnsi="仿宋_GB2312" w:eastAsia="仿宋_GB2312" w:cs="仿宋_GB2312"/>
          <w:sz w:val="32"/>
        </w:rPr>
        <w:t>商用密码检测、认证机构应当依法取得相关资质，并依照法律、行政法规的规定和商用密码检测认证技术规范、规则开展商用密码检测认证。</w:t>
      </w:r>
    </w:p>
    <w:p>
      <w:pPr>
        <w:spacing w:line="240" w:lineRule="auto"/>
        <w:ind w:firstLine="640"/>
        <w:jc w:val="both"/>
      </w:pPr>
      <w:r>
        <w:rPr>
          <w:rFonts w:ascii="仿宋_GB2312" w:hAnsi="仿宋_GB2312" w:eastAsia="仿宋_GB2312" w:cs="仿宋_GB2312"/>
          <w:sz w:val="32"/>
        </w:rPr>
        <w:t>商用密码检测、认证机构应当对其在商用密码检测认证中所知悉的国家秘密和商业秘密承担保密义务。</w:t>
      </w:r>
    </w:p>
    <w:p>
      <w:pPr>
        <w:spacing w:line="240" w:lineRule="auto"/>
        <w:ind w:firstLine="640"/>
        <w:jc w:val="both"/>
      </w:pPr>
      <w:r>
        <w:rPr>
          <w:rFonts w:ascii="黑体" w:hAnsi="黑体" w:eastAsia="黑体" w:cs="黑体"/>
          <w:sz w:val="32"/>
        </w:rPr>
        <w:t>第二十六条</w:t>
      </w:r>
      <w:r>
        <w:rPr>
          <w:rFonts w:hint="eastAsia" w:ascii="仿宋_GB2312" w:hAnsi="仿宋_GB2312" w:cs="仿宋_GB2312"/>
          <w:sz w:val="32"/>
          <w:lang w:eastAsia="zh-CN"/>
        </w:rPr>
        <w:t>　</w:t>
      </w:r>
      <w:r>
        <w:rPr>
          <w:rFonts w:ascii="仿宋_GB2312" w:hAnsi="仿宋_GB2312" w:eastAsia="仿宋_GB2312" w:cs="仿宋_GB2312"/>
          <w:sz w:val="32"/>
        </w:rPr>
        <w:t>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pPr>
        <w:spacing w:line="240" w:lineRule="auto"/>
        <w:ind w:firstLine="640"/>
        <w:jc w:val="both"/>
      </w:pPr>
      <w:r>
        <w:rPr>
          <w:rFonts w:ascii="仿宋_GB2312" w:hAnsi="仿宋_GB2312" w:eastAsia="仿宋_GB2312" w:cs="仿宋_GB2312"/>
          <w:sz w:val="32"/>
        </w:rPr>
        <w:t>商用密码服务使用网络关键设备和网络安全专用产品的，应当经商用密码认证机构对该商用密码服务认证合格。</w:t>
      </w:r>
    </w:p>
    <w:p>
      <w:pPr>
        <w:spacing w:line="240" w:lineRule="auto"/>
        <w:ind w:firstLine="640"/>
        <w:jc w:val="both"/>
      </w:pPr>
      <w:r>
        <w:rPr>
          <w:rFonts w:ascii="黑体" w:hAnsi="黑体" w:eastAsia="黑体" w:cs="黑体"/>
          <w:sz w:val="32"/>
        </w:rPr>
        <w:t>第二十七条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pPr>
        <w:spacing w:line="240" w:lineRule="auto"/>
        <w:ind w:firstLine="640"/>
        <w:jc w:val="both"/>
      </w:pPr>
      <w:r>
        <w:rPr>
          <w:rFonts w:ascii="仿宋_GB2312" w:hAnsi="仿宋_GB2312" w:eastAsia="仿宋_GB2312" w:cs="仿宋_GB2312"/>
          <w:sz w:val="32"/>
        </w:rPr>
        <w:t>关键信息基础设施的运营者采购涉及商用密码的网络产品和服务，可能影响国家安全的，应当按照《中华人民共和国网络安全法》的规定，通过国家网信部门会同国家密码管理部门等有关部门组织的国家安全审查。</w:t>
      </w:r>
    </w:p>
    <w:p>
      <w:pPr>
        <w:spacing w:line="240" w:lineRule="auto"/>
        <w:ind w:firstLine="640"/>
        <w:jc w:val="both"/>
      </w:pPr>
      <w:r>
        <w:rPr>
          <w:rFonts w:ascii="黑体" w:hAnsi="黑体" w:eastAsia="黑体" w:cs="黑体"/>
          <w:sz w:val="32"/>
        </w:rPr>
        <w:t>第二十八条</w:t>
      </w:r>
      <w:r>
        <w:rPr>
          <w:rFonts w:hint="eastAsia" w:ascii="仿宋_GB2312" w:hAnsi="仿宋_GB2312" w:cs="仿宋_GB2312"/>
          <w:sz w:val="32"/>
          <w:lang w:eastAsia="zh-CN"/>
        </w:rPr>
        <w:t>　</w:t>
      </w:r>
      <w:r>
        <w:rPr>
          <w:rFonts w:ascii="仿宋_GB2312" w:hAnsi="仿宋_GB2312" w:eastAsia="仿宋_GB2312" w:cs="仿宋_GB2312"/>
          <w:sz w:val="32"/>
        </w:rPr>
        <w:t>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pPr>
        <w:spacing w:line="240" w:lineRule="auto"/>
        <w:ind w:firstLine="640"/>
        <w:jc w:val="both"/>
      </w:pPr>
      <w:r>
        <w:rPr>
          <w:rFonts w:ascii="仿宋_GB2312" w:hAnsi="仿宋_GB2312" w:eastAsia="仿宋_GB2312" w:cs="仿宋_GB2312"/>
          <w:sz w:val="32"/>
        </w:rPr>
        <w:t>大众消费类产品所采用的商用密码不实行进口许可和出口管制制度。</w:t>
      </w:r>
    </w:p>
    <w:p>
      <w:pPr>
        <w:spacing w:line="240" w:lineRule="auto"/>
        <w:ind w:firstLine="640"/>
        <w:jc w:val="both"/>
      </w:pPr>
      <w:r>
        <w:rPr>
          <w:rFonts w:ascii="黑体" w:hAnsi="黑体" w:eastAsia="黑体" w:cs="黑体"/>
          <w:sz w:val="32"/>
        </w:rPr>
        <w:t>第二十九条</w:t>
      </w:r>
      <w:r>
        <w:rPr>
          <w:rFonts w:hint="eastAsia" w:ascii="仿宋_GB2312" w:hAnsi="仿宋_GB2312" w:cs="仿宋_GB2312"/>
          <w:sz w:val="32"/>
          <w:lang w:eastAsia="zh-CN"/>
        </w:rPr>
        <w:t>　</w:t>
      </w:r>
      <w:r>
        <w:rPr>
          <w:rFonts w:ascii="仿宋_GB2312" w:hAnsi="仿宋_GB2312" w:eastAsia="仿宋_GB2312" w:cs="仿宋_GB2312"/>
          <w:sz w:val="32"/>
        </w:rPr>
        <w:t>国家密码管理部门对采用商用密码技术从事电子政务电子认证服务的机构进行认定，会同有关部门负责政务活动中使用电子签名、数据电文的管理。</w:t>
      </w:r>
    </w:p>
    <w:p>
      <w:pPr>
        <w:spacing w:line="240" w:lineRule="auto"/>
        <w:ind w:firstLine="640"/>
        <w:jc w:val="both"/>
      </w:pPr>
      <w:r>
        <w:rPr>
          <w:rFonts w:ascii="黑体" w:hAnsi="黑体" w:eastAsia="黑体" w:cs="黑体"/>
          <w:sz w:val="32"/>
        </w:rPr>
        <w:t>第三十条</w:t>
      </w:r>
      <w:r>
        <w:rPr>
          <w:rFonts w:hint="eastAsia" w:ascii="仿宋_GB2312" w:hAnsi="仿宋_GB2312" w:cs="仿宋_GB2312"/>
          <w:sz w:val="32"/>
          <w:lang w:eastAsia="zh-CN"/>
        </w:rPr>
        <w:t>　</w:t>
      </w:r>
      <w:r>
        <w:rPr>
          <w:rFonts w:ascii="仿宋_GB2312" w:hAnsi="仿宋_GB2312" w:eastAsia="仿宋_GB2312" w:cs="仿宋_GB2312"/>
          <w:sz w:val="32"/>
        </w:rPr>
        <w:t>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pPr>
        <w:spacing w:line="240" w:lineRule="auto"/>
        <w:ind w:firstLine="640"/>
        <w:jc w:val="both"/>
      </w:pPr>
      <w:r>
        <w:rPr>
          <w:rFonts w:ascii="黑体" w:hAnsi="黑体" w:eastAsia="黑体" w:cs="黑体"/>
          <w:sz w:val="32"/>
        </w:rPr>
        <w:t>第三十一条</w:t>
      </w:r>
      <w:r>
        <w:rPr>
          <w:rFonts w:hint="eastAsia" w:ascii="仿宋_GB2312" w:hAnsi="仿宋_GB2312" w:cs="仿宋_GB2312"/>
          <w:sz w:val="32"/>
          <w:lang w:eastAsia="zh-CN"/>
        </w:rPr>
        <w:t>　</w:t>
      </w:r>
      <w:r>
        <w:rPr>
          <w:rFonts w:ascii="仿宋_GB2312" w:hAnsi="仿宋_GB2312" w:eastAsia="仿宋_GB2312" w:cs="仿宋_GB2312"/>
          <w:sz w:val="32"/>
        </w:rPr>
        <w:t>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pPr>
        <w:spacing w:line="240" w:lineRule="auto"/>
        <w:ind w:firstLine="640"/>
        <w:jc w:val="both"/>
      </w:pPr>
      <w:r>
        <w:rPr>
          <w:rFonts w:ascii="仿宋_GB2312" w:hAnsi="仿宋_GB2312" w:eastAsia="仿宋_GB2312" w:cs="仿宋_GB2312"/>
          <w:sz w:val="32"/>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法律责任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第三十二条</w:t>
      </w:r>
      <w:r>
        <w:rPr>
          <w:rFonts w:hint="eastAsia" w:ascii="仿宋_GB2312" w:hAnsi="仿宋_GB2312" w:cs="仿宋_GB2312"/>
          <w:sz w:val="32"/>
          <w:lang w:eastAsia="zh-CN"/>
        </w:rPr>
        <w:t>　</w:t>
      </w:r>
      <w:r>
        <w:rPr>
          <w:rFonts w:ascii="仿宋_GB2312" w:hAnsi="仿宋_GB2312" w:eastAsia="仿宋_GB2312" w:cs="仿宋_GB2312"/>
          <w:sz w:val="32"/>
        </w:rPr>
        <w:t>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pPr>
        <w:spacing w:line="240" w:lineRule="auto"/>
        <w:ind w:firstLine="640"/>
        <w:jc w:val="both"/>
      </w:pPr>
      <w:r>
        <w:rPr>
          <w:rFonts w:ascii="黑体" w:hAnsi="黑体" w:eastAsia="黑体" w:cs="黑体"/>
          <w:sz w:val="32"/>
        </w:rPr>
        <w:t>第三十三条</w:t>
      </w:r>
      <w:r>
        <w:rPr>
          <w:rFonts w:hint="eastAsia" w:ascii="仿宋_GB2312" w:hAnsi="仿宋_GB2312" w:cs="仿宋_GB2312"/>
          <w:sz w:val="32"/>
          <w:lang w:eastAsia="zh-CN"/>
        </w:rPr>
        <w:t>　</w:t>
      </w:r>
      <w:r>
        <w:rPr>
          <w:rFonts w:ascii="仿宋_GB2312" w:hAnsi="仿宋_GB2312" w:eastAsia="仿宋_GB2312" w:cs="仿宋_GB2312"/>
          <w:sz w:val="32"/>
        </w:rPr>
        <w:t>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pPr>
        <w:spacing w:line="240" w:lineRule="auto"/>
        <w:ind w:firstLine="640"/>
        <w:jc w:val="both"/>
      </w:pPr>
      <w:r>
        <w:rPr>
          <w:rFonts w:ascii="黑体" w:hAnsi="黑体" w:eastAsia="黑体" w:cs="黑体"/>
          <w:sz w:val="32"/>
        </w:rPr>
        <w:t>第三十四条</w:t>
      </w:r>
      <w:r>
        <w:rPr>
          <w:rFonts w:hint="eastAsia" w:ascii="仿宋_GB2312" w:hAnsi="仿宋_GB2312" w:cs="仿宋_GB2312"/>
          <w:sz w:val="32"/>
          <w:lang w:eastAsia="zh-CN"/>
        </w:rPr>
        <w:t>　</w:t>
      </w:r>
      <w:r>
        <w:rPr>
          <w:rFonts w:ascii="仿宋_GB2312" w:hAnsi="仿宋_GB2312" w:eastAsia="仿宋_GB2312" w:cs="仿宋_GB2312"/>
          <w:sz w:val="32"/>
        </w:rPr>
        <w:t>违反本法规定，发生核心密码、普通密码泄密案件的，由保密行政管理部门、密码管理部门建议有关国家机关、单位对直接负责的主管人员和其他直接责任人员依法给予处分或者处理。</w:t>
      </w:r>
    </w:p>
    <w:p>
      <w:pPr>
        <w:spacing w:line="240" w:lineRule="auto"/>
        <w:ind w:firstLine="640"/>
        <w:jc w:val="both"/>
      </w:pPr>
      <w:r>
        <w:rPr>
          <w:rFonts w:ascii="仿宋_GB2312" w:hAnsi="仿宋_GB2312" w:eastAsia="仿宋_GB2312" w:cs="仿宋_GB2312"/>
          <w:sz w:val="32"/>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pPr>
        <w:spacing w:line="240" w:lineRule="auto"/>
        <w:ind w:firstLine="640"/>
        <w:jc w:val="both"/>
      </w:pPr>
      <w:r>
        <w:rPr>
          <w:rFonts w:ascii="黑体" w:hAnsi="黑体" w:eastAsia="黑体" w:cs="黑体"/>
          <w:sz w:val="32"/>
        </w:rPr>
        <w:t>第三十五条</w:t>
      </w:r>
      <w:r>
        <w:rPr>
          <w:rFonts w:hint="eastAsia" w:ascii="仿宋_GB2312" w:hAnsi="仿宋_GB2312" w:cs="仿宋_GB2312"/>
          <w:sz w:val="32"/>
          <w:lang w:eastAsia="zh-CN"/>
        </w:rPr>
        <w:t>　</w:t>
      </w:r>
      <w:r>
        <w:rPr>
          <w:rFonts w:ascii="仿宋_GB2312" w:hAnsi="仿宋_GB2312" w:eastAsia="仿宋_GB2312" w:cs="仿宋_GB2312"/>
          <w:sz w:val="32"/>
        </w:rPr>
        <w:t>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pPr>
        <w:spacing w:line="240" w:lineRule="auto"/>
        <w:ind w:firstLine="640"/>
        <w:jc w:val="both"/>
      </w:pPr>
      <w:r>
        <w:rPr>
          <w:rFonts w:ascii="黑体" w:hAnsi="黑体" w:eastAsia="黑体" w:cs="黑体"/>
          <w:sz w:val="32"/>
        </w:rPr>
        <w:t>第三十六条</w:t>
      </w:r>
      <w:r>
        <w:rPr>
          <w:rFonts w:hint="eastAsia" w:ascii="仿宋_GB2312" w:hAnsi="仿宋_GB2312" w:cs="仿宋_GB2312"/>
          <w:sz w:val="32"/>
          <w:lang w:eastAsia="zh-CN"/>
        </w:rPr>
        <w:t>　</w:t>
      </w:r>
      <w:r>
        <w:rPr>
          <w:rFonts w:ascii="仿宋_GB2312" w:hAnsi="仿宋_GB2312" w:eastAsia="仿宋_GB2312" w:cs="仿宋_GB2312"/>
          <w:sz w:val="32"/>
        </w:rPr>
        <w:t>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pPr>
        <w:spacing w:line="240" w:lineRule="auto"/>
        <w:ind w:firstLine="640"/>
        <w:jc w:val="both"/>
      </w:pPr>
      <w:r>
        <w:rPr>
          <w:rFonts w:ascii="黑体" w:hAnsi="黑体" w:eastAsia="黑体" w:cs="黑体"/>
          <w:sz w:val="32"/>
        </w:rPr>
        <w:t>第三十七条</w:t>
      </w:r>
      <w:r>
        <w:rPr>
          <w:rFonts w:hint="eastAsia" w:ascii="仿宋_GB2312" w:hAnsi="仿宋_GB2312" w:cs="仿宋_GB2312"/>
          <w:sz w:val="32"/>
          <w:lang w:eastAsia="zh-CN"/>
        </w:rPr>
        <w:t>　</w:t>
      </w:r>
      <w:r>
        <w:rPr>
          <w:rFonts w:ascii="仿宋_GB2312" w:hAnsi="仿宋_GB2312" w:eastAsia="仿宋_GB2312" w:cs="仿宋_GB2312"/>
          <w:sz w:val="32"/>
        </w:rPr>
        <w:t>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pPr>
        <w:spacing w:line="240" w:lineRule="auto"/>
        <w:ind w:firstLine="640"/>
        <w:jc w:val="both"/>
      </w:pPr>
      <w:r>
        <w:rPr>
          <w:rFonts w:ascii="仿宋_GB2312" w:hAnsi="仿宋_GB2312" w:eastAsia="仿宋_GB2312" w:cs="仿宋_GB2312"/>
          <w:sz w:val="32"/>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pPr>
        <w:spacing w:line="240" w:lineRule="auto"/>
        <w:ind w:firstLine="640"/>
        <w:jc w:val="both"/>
      </w:pPr>
      <w:r>
        <w:rPr>
          <w:rFonts w:ascii="黑体" w:hAnsi="黑体" w:eastAsia="黑体" w:cs="黑体"/>
          <w:sz w:val="32"/>
        </w:rPr>
        <w:t>第三十八条</w:t>
      </w:r>
      <w:r>
        <w:rPr>
          <w:rFonts w:hint="eastAsia" w:ascii="仿宋_GB2312" w:hAnsi="仿宋_GB2312" w:cs="仿宋_GB2312"/>
          <w:sz w:val="32"/>
          <w:lang w:eastAsia="zh-CN"/>
        </w:rPr>
        <w:t>　</w:t>
      </w:r>
      <w:r>
        <w:rPr>
          <w:rFonts w:ascii="仿宋_GB2312" w:hAnsi="仿宋_GB2312" w:eastAsia="仿宋_GB2312" w:cs="仿宋_GB2312"/>
          <w:sz w:val="32"/>
        </w:rPr>
        <w:t>违反本法第二十八条实施进口许可、出口管制的规定，进出口商用密码的，由国务院商务主管部门或者海关依法予以处罚。</w:t>
      </w:r>
    </w:p>
    <w:p>
      <w:pPr>
        <w:spacing w:line="240" w:lineRule="auto"/>
        <w:ind w:firstLine="640"/>
        <w:jc w:val="both"/>
      </w:pPr>
      <w:r>
        <w:rPr>
          <w:rFonts w:ascii="黑体" w:hAnsi="黑体" w:eastAsia="黑体" w:cs="黑体"/>
          <w:sz w:val="32"/>
        </w:rPr>
        <w:t>第三十九条</w:t>
      </w:r>
      <w:r>
        <w:rPr>
          <w:rFonts w:hint="eastAsia" w:ascii="仿宋_GB2312" w:hAnsi="仿宋_GB2312" w:cs="仿宋_GB2312"/>
          <w:sz w:val="32"/>
          <w:lang w:eastAsia="zh-CN"/>
        </w:rPr>
        <w:t>　</w:t>
      </w:r>
      <w:r>
        <w:rPr>
          <w:rFonts w:ascii="仿宋_GB2312" w:hAnsi="仿宋_GB2312" w:eastAsia="仿宋_GB2312" w:cs="仿宋_GB2312"/>
          <w:sz w:val="32"/>
        </w:rPr>
        <w:t>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pPr>
        <w:spacing w:line="240" w:lineRule="auto"/>
        <w:ind w:firstLine="640"/>
        <w:jc w:val="both"/>
      </w:pPr>
      <w:r>
        <w:rPr>
          <w:rFonts w:ascii="黑体" w:hAnsi="黑体" w:eastAsia="黑体" w:cs="黑体"/>
          <w:sz w:val="32"/>
        </w:rPr>
        <w:t>第四十条</w:t>
      </w:r>
      <w:r>
        <w:rPr>
          <w:rFonts w:hint="eastAsia" w:ascii="仿宋_GB2312" w:hAnsi="仿宋_GB2312" w:cs="仿宋_GB2312"/>
          <w:sz w:val="32"/>
          <w:lang w:eastAsia="zh-CN"/>
        </w:rPr>
        <w:t>　</w:t>
      </w:r>
      <w:r>
        <w:rPr>
          <w:rFonts w:ascii="仿宋_GB2312" w:hAnsi="仿宋_GB2312" w:eastAsia="仿宋_GB2312" w:cs="仿宋_GB2312"/>
          <w:sz w:val="32"/>
        </w:rPr>
        <w:t>密码管理部门和有关部门、单位的工作人员在密码工作中滥用职权、玩忽职守、徇私舞弊，或者泄露、非法向他人提供在履行职责中知悉的商业秘密和个人隐私的，依法给予处分。</w:t>
      </w:r>
    </w:p>
    <w:p>
      <w:pPr>
        <w:spacing w:line="240" w:lineRule="auto"/>
        <w:ind w:firstLine="640"/>
        <w:jc w:val="both"/>
      </w:pPr>
      <w:r>
        <w:rPr>
          <w:rFonts w:ascii="黑体" w:hAnsi="黑体" w:eastAsia="黑体" w:cs="黑体"/>
          <w:sz w:val="32"/>
        </w:rPr>
        <w:t>第四十一条</w:t>
      </w:r>
      <w:r>
        <w:rPr>
          <w:rFonts w:hint="eastAsia" w:ascii="仿宋_GB2312" w:hAnsi="仿宋_GB2312" w:cs="仿宋_GB2312"/>
          <w:sz w:val="32"/>
          <w:lang w:eastAsia="zh-CN"/>
        </w:rPr>
        <w:t>　</w:t>
      </w:r>
      <w:r>
        <w:rPr>
          <w:rFonts w:ascii="仿宋_GB2312" w:hAnsi="仿宋_GB2312" w:eastAsia="仿宋_GB2312" w:cs="仿宋_GB2312"/>
          <w:sz w:val="32"/>
        </w:rPr>
        <w:t>违反本法规定，构成犯罪的，依法追究刑事责任；给他人造成损害的，依法承担民事责任。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附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第四十二条</w:t>
      </w:r>
      <w:r>
        <w:rPr>
          <w:rFonts w:hint="eastAsia" w:ascii="仿宋_GB2312" w:hAnsi="仿宋_GB2312" w:cs="仿宋_GB2312"/>
          <w:sz w:val="32"/>
          <w:lang w:eastAsia="zh-CN"/>
        </w:rPr>
        <w:t>　</w:t>
      </w:r>
      <w:r>
        <w:rPr>
          <w:rFonts w:ascii="仿宋_GB2312" w:hAnsi="仿宋_GB2312" w:eastAsia="仿宋_GB2312" w:cs="仿宋_GB2312"/>
          <w:sz w:val="32"/>
        </w:rPr>
        <w:t>国家密码管理部门依照法律、行政法规的规定，制定密码管理规章。</w:t>
      </w:r>
    </w:p>
    <w:p>
      <w:pPr>
        <w:spacing w:line="240" w:lineRule="auto"/>
        <w:ind w:firstLine="640"/>
        <w:jc w:val="both"/>
      </w:pPr>
      <w:r>
        <w:rPr>
          <w:rFonts w:ascii="黑体" w:hAnsi="黑体" w:eastAsia="黑体" w:cs="黑体"/>
          <w:sz w:val="32"/>
        </w:rPr>
        <w:t>第四十三条</w:t>
      </w:r>
      <w:r>
        <w:rPr>
          <w:rFonts w:hint="eastAsia" w:ascii="仿宋_GB2312" w:hAnsi="仿宋_GB2312" w:cs="仿宋_GB2312"/>
          <w:sz w:val="32"/>
          <w:lang w:eastAsia="zh-CN"/>
        </w:rPr>
        <w:t>　</w:t>
      </w:r>
      <w:r>
        <w:rPr>
          <w:rFonts w:ascii="仿宋_GB2312" w:hAnsi="仿宋_GB2312" w:eastAsia="仿宋_GB2312" w:cs="仿宋_GB2312"/>
          <w:sz w:val="32"/>
        </w:rPr>
        <w:t>中国人民解放军和中国人民武装警察部队的密码工作管理办法，由中央军事委员会根据本法制定。</w:t>
      </w:r>
    </w:p>
    <w:p>
      <w:pPr>
        <w:spacing w:line="240" w:lineRule="auto"/>
        <w:ind w:firstLine="640"/>
        <w:jc w:val="both"/>
      </w:pPr>
      <w:r>
        <w:rPr>
          <w:rFonts w:ascii="黑体" w:hAnsi="黑体" w:eastAsia="黑体" w:cs="黑体"/>
          <w:sz w:val="32"/>
        </w:rPr>
        <w:t>第四十四条</w:t>
      </w:r>
      <w:r>
        <w:rPr>
          <w:rFonts w:hint="eastAsia" w:ascii="仿宋_GB2312" w:hAnsi="仿宋_GB2312" w:cs="仿宋_GB2312"/>
          <w:sz w:val="32"/>
          <w:lang w:eastAsia="zh-CN"/>
        </w:rPr>
        <w:t>　</w:t>
      </w:r>
      <w:r>
        <w:rPr>
          <w:rFonts w:ascii="仿宋_GB2312" w:hAnsi="仿宋_GB2312" w:eastAsia="仿宋_GB2312" w:cs="仿宋_GB2312"/>
          <w:sz w:val="32"/>
        </w:rPr>
        <w:t>本法自</w:t>
      </w: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656367F"/>
    <w:rsid w:val="549C579F"/>
    <w:rsid w:val="6E4A3D5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2021-02-05T08:25:05Z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