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rPr>
          <w:rFonts w:hint="eastAsia" w:ascii="宋体" w:hAnsi="宋体" w:eastAsia="宋体" w:cs="宋体"/>
        </w:rPr>
      </w:pPr>
    </w:p>
    <w:p>
      <w:pPr>
        <w:jc w:val="center"/>
      </w:pPr>
      <w:r>
        <w:rPr>
          <w:rFonts w:ascii="宋体" w:hAnsi="宋体" w:eastAsia="宋体"/>
          <w:sz w:val="44"/>
        </w:rPr>
        <w:t>中华人民共和国关税法</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（2024年4月26日第十四届全国人民代表大会常务委员会第九次会议通过）</w:t>
      </w:r>
    </w:p>
    <w:p>
      <w:pPr>
        <w:spacing w:line="240" w:lineRule="auto"/>
        <w:rPr>
          <w:rFonts w:hint="eastAsia" w:ascii="宋体" w:hAnsi="宋体" w:eastAsia="宋体" w:cs="宋体"/>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632" w:firstLine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632" w:firstLineChars="200"/>
        <w:textAlignment w:val="auto"/>
      </w:pPr>
      <w:r>
        <w:rPr>
          <w:rFonts w:ascii="楷体_GB2312" w:hAnsi="楷体_GB2312" w:eastAsia="楷体_GB2312"/>
          <w:sz w:val="32"/>
        </w:rPr>
        <w:t>第二章　税目和税率</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632" w:firstLineChars="200"/>
        <w:textAlignment w:val="auto"/>
      </w:pPr>
      <w:r>
        <w:rPr>
          <w:rFonts w:ascii="楷体_GB2312" w:hAnsi="楷体_GB2312" w:eastAsia="楷体_GB2312"/>
          <w:sz w:val="32"/>
        </w:rPr>
        <w:t>第三章　应纳税额</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632" w:firstLineChars="200"/>
        <w:textAlignment w:val="auto"/>
      </w:pPr>
      <w:r>
        <w:rPr>
          <w:rFonts w:ascii="楷体_GB2312" w:hAnsi="楷体_GB2312" w:eastAsia="楷体_GB2312"/>
          <w:sz w:val="32"/>
        </w:rPr>
        <w:t>第四章　税收优惠和特殊情形关税征收</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632" w:firstLineChars="200"/>
        <w:textAlignment w:val="auto"/>
      </w:pPr>
      <w:r>
        <w:rPr>
          <w:rFonts w:ascii="楷体_GB2312" w:hAnsi="楷体_GB2312" w:eastAsia="楷体_GB2312"/>
          <w:sz w:val="32"/>
        </w:rPr>
        <w:t>第五章　征收管理</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632" w:firstLine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632" w:firstLineChars="200"/>
        <w:textAlignment w:val="auto"/>
      </w:pPr>
      <w:r>
        <w:rPr>
          <w:rFonts w:ascii="楷体_GB2312" w:hAnsi="楷体_GB2312" w:eastAsia="楷体_GB2312"/>
          <w:sz w:val="32"/>
        </w:rPr>
        <w:t>第七章　附　　则</w:t>
      </w:r>
    </w:p>
    <w:p>
      <w:pPr>
        <w:spacing w:line="240" w:lineRule="auto"/>
        <w:rPr>
          <w:rFonts w:hint="eastAsia" w:ascii="宋体" w:hAnsi="宋体" w:eastAsia="宋体" w:cs="宋体"/>
        </w:rPr>
      </w:pPr>
    </w:p>
    <w:p>
      <w:pPr>
        <w:jc w:val="center"/>
      </w:pPr>
      <w:r>
        <w:rPr>
          <w:rFonts w:ascii="黑体" w:hAnsi="黑体" w:eastAsia="黑体"/>
          <w:sz w:val="32"/>
        </w:rPr>
        <w:t>第一章　总　　则</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为了规范关税的征收和缴纳，维护进出口秩序，促进对外贸易，推进高水平对外开放，推动高质量发展，维护国家主权和利益，保护纳税人合法权益，根据宪法，制定本法。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中华人民共和国准许进出口的货物、进境物品，由海关依照本法和有关法律、行政法规的规定征收关税。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进口货物的收货人、出口货物的发货人、进境物品的携带人或者收件人，是关税的纳税人。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从事跨境电子商务零售进口的电子商务平台经营者、物流企业和报关企业，以及法律、行政法规规定负有代扣代缴、代收代缴关税税款义务的单位和个人，是关税的扣缴义务人。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进出口货物的关税税目、税率以及税目、税率的适用规则等，依照本法所附《中华人民共和国进出口税则》（以下简称《税则》）执行。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个人合理自用的进境物品，按照简易征收办法征收关税。超过个人合理自用数量的进境物品，按照进口货物征收关税。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个人合理自用的进境物品，在规定数额以内的免征关税。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进境物品关税简易征收办法和免征关税数额由国务院规定，报全国人民代表大会常务委员会备案。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关税工作坚持中国共产党的领导，贯彻落实党和国家路线方针政策、决策部署，为国民经济和社会发展服务。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国务院设立关税税则委员会，履行下列职责：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（一）审议关税工作重大规划，拟定关税改革发展方案，并组织实施；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（二）审议重大关税政策和对外关税谈判方案；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（三）提出《税则》调整建议；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（四）定期编纂、发布《税则》；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（五）解释《税则》的税目、税率；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（六）决定征收反倾销税、反补贴税、保障措施关税，实施国务院决定的其他关税措施；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（七）法律、行政法规和国务院规定的其他职责。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国务院关税税则委员会的组成和工作规则由国务院规定。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海关及其工作人员对在履行职责中知悉的纳税人、扣缴义务人的商业秘密、个人隐私、个人信息，应当依法予以保密，不得泄露或者非法向他人提供。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税目和税率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关税税目由税则号列和目录条文等组成。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关税税目适用规则包括归类规则等。进出口货物的商品归类，应当按照《税则》规定的目录条文和归类总规则、类注、章注、子目注释、本国子目注释，以及其他归类注释确定，并归入相应的税则号列。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根据实际需要，国务院关税税则委员会可以提出调整关税税目及其适用规则的建议，报国务院批准后发布执行。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进口关税设置最惠国税率、协定税率、特惠税率、普通税率。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出口关税设置出口税率。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对实行关税配额管理的进出口货物，设置关税配额税率。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对进出口货物在一定期限内可以实行暂定税率。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关税税率的适用应当符合相应的原产地规则。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完全在一个国家或者地区获得的货物，以该国家或者地区为原产地；两个以上国家或者地区参与生产的货物，以最后完成实质性改变的国家或者地区为原产地。国务院根据中华人民共和国缔结或者共同参加的国际条约、协定对原产地的确定另有规定的，依照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进口货物原产地的具体确定，依照本法和国务院及其有关部门的规定执行。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原产于共同适用最惠国待遇条款的世界贸易组织成员的进口货物，原产于与中华人民共和国缔结或者共同参加含有相互给予最惠国待遇条款的国际条约、协定的国家或者地区的进口货物，以及原产于中华人民共和国境内的进口货物，适用最惠国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原产于与中华人民共和国缔结或者共同参加含有关税优惠条款的国际条约、协定的国家或者地区且符合国际条约、协定有关规定的进口货物，适用协定税率。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原产于中华人民共和国给予特殊关税优惠安排的国家或者地区且符合国家原产地管理规定的进口货物，适用特惠税率。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原产于本条第一款至第三款规定以外的国家或者地区的进口货物，以及原产地不明的进口货物，适用普通税率。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适用最惠国税率的进口货物有暂定税率的，适用暂定税率。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适用协定税率的进口货物有暂定税率的，从低适用税率；其最惠国税率低于协定税率且无暂定税率的，适用最惠国税率。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适用特惠税率的进口货物有暂定税率的，从低适用税率。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适用普通税率的进口货物，不适用暂定税率。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适用出口税率的出口货物有暂定税率的，适用暂定税率。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实行关税配额管理的进出口货物，关税配额内的适用关税配额税率，有暂定税率的适用暂定税率；关税配额外的，其税率的适用按照本法第十二条、第十三条的规定执行。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关税税率的调整，按照下列规定执行：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（一）需要调整中华人民共和国在加入世界贸易组织议定书中承诺的最惠国税率、关税配额税率和出口税率的，由国务院关税税则委员会提出建议，经国务院审核后报全国人民代表大会常务委员会决定。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根据实际情况，在中华人民共和国加入世界贸易组织议定书中承诺的范围内调整最惠国税率、关税配额税率和出口税率，调整特惠税率适用的国别或者地区、货物范围和税率，或者调整普通税率的，由国务院决定，报全国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（三）特殊情况下最惠国税率的适用，由国务院决定，报全国人民代表大会常务委员会备案。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协定税率在完成有关国际条约、协定的核准或者批准程序后，由国务院关税税则委员会组织实施。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实行暂定税率的货物范围、税率和期限由国务院关税税则委员会决定。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与关税税目调整相关的税率的技术性转换，由国务院关税税则委员会提出建议，报国务院批准后执行。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关税税率依照前四款规定调整的，由国务院关税税则委员会发布。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依法对进口货物征收反倾销税、反补贴税、保障措施关税的，其税率的适用按照有关反倾销、反补贴和保障措施的法律、行政法规的规定执行。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任何国家或者地区不履行与中华人民共和国缔结或者共同参加的国际条约、协定中的最惠国待遇条款或者关税优惠条款，国务院关税税则委员会可以提出按照对等原则采取相应措施的建议，报国务院批准后执行。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任何国家或者地区违反与中华人民共和国缔结或者共同参加的国际条约、协定，对中华人民共和国在贸易方面采取禁止、限制、加征关税或者其他影响正常贸易的措施的，对原产于该国家或者地区的进口货物可以采取征收报复性关税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征收报复性关税的货物范围、适用国别或者地区、税率、期限和征收办法，由国务院关税税则委员会提出建议，报国务院批准后执行。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涉及本法第十六条、第十七条、第十八条规定措施的进口货物，纳税人未提供证明材料，或者提供了证明材料但经海关审核仍无法排除该货物原产于被采取规定措施的国家或者地区的，对该货物适用下列两项税率中较高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（一）因采取规定措施对相关货物所实施的最高税率与按照本法第十二条、第十三条、第十四条规定适用的税率相加后的税率；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（二）普通税率。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进出口货物、进境物品，应当适用纳税人、扣缴义务人完成申报之日实施的税率。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进口货物到达前，经海关核准先行申报的，应当适用装载该货物的运输工具申报进境之日实施的税率。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有下列情形之一的，应当适用纳税人、扣缴义务人办理纳税手续之日实施的税率：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（一）保税货物不复运出境，转为内销；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（二）减免税货物经批准转让、移作他用或者进行其他处置；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（三）暂时进境货物不复运出境或者暂时出境货物不复运进境；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（四）租赁进口货物留购或者分期缴纳税款。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补征或者退还关税税款，应当按照本法第二十条或者第二十一条的规定确定适用的税率。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因纳税人、扣缴义务人违反规定需要追征税款的，应当适用违反规定行为发生之日实施的税率；行为发生之日不能确定的，适用海关发现该行为之日实施的税率。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应纳税额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关税实行从价计征、从量计征、复合计征的方式征收。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实行从价计征的，应纳税额按照计税价格乘以比例税率计算。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实行从量计征的，应纳税额按照货物数量乘以定额税率计算。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实行复合计征的，应纳税额按照计税价格乘以比例税率与货物数量乘以定额税率之和计算。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进口货物的计税价格以成交价格以及该货物运抵中华人民共和国境内输入地点起卸前的运输及其相关费用、保险费为基础确定。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进口货物的成交价格，是指卖方向中华人民共和国境内销售该货物时买方为进口该货物向卖方实付、应付的，并按照本法第二十五条、第二十六条规定调整后的价款总额，包括直接支付的价款和间接支付的价款。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进口货物的成交价格应当符合下列条件：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（一）对买方处置或者使用该货物不予限制，但法律、行政法规规定的限制、对货物转售地域的限制和对货物价格无实质性影响的限制除外；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（二）该货物的成交价格没有因搭售或者其他因素的影响而无法确定；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（三）卖方不得从买方直接或者间接获得因该货物进口后转售、处置或者使用而产生的任何收益，或者虽有收益但能够按照本法第二十五条、第二十六条的规定进行调整；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（四）买卖双方没有特殊关系，或者虽有特殊关系但未对成交价格产生影响。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进口货物的下列费用应当计入计税价格：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（一）由买方负担的购货佣金以外的佣金和经纪费；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（二）由买方负担的与该货物视为一体的容器的费用；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（三）由买方负担的包装材料费用和包装劳务费用；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与该货物的生产和向中华人民共和国境内销售有关的，由买方以免费或者以低于成本的方式提供并可以按适当比例分摊的料件、工具、模具、消耗材料及类似货物的价款，以及在中华人民共和国境外开发、设计等相关服务的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（五）作为该货物向中华人民共和国境内销售的条件，买方必须支付的、与该货物有关的特许权使用费；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（六）卖方直接或者间接从买方获得的该货物进口后转售、处置或者使用的收益。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进口时在货物的价款中列明的下列费用、税收，不计入该货物的计税价格：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（一）厂房、机械、设备等货物进口后进行建设、安装、装配、维修和技术服务的费用，但保修费用除外；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（二）进口货物运抵中华人民共和国境内输入地点起卸后的运输及其相关费用、保险费；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（三）进口关税及国内税收。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进口货物的成交价格不符合本法第二十四条第三款规定条件，或者成交价格不能确定的，海关经了解有关情况，并与纳税人进行价格磋商后，依次以下列价格估定该货物的计税价格：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（一）与该货物同时或者大约同时向中华人民共和国境内销售的相同货物的成交价格；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（二）与该货物同时或者大约同时向中华人民共和国境内销售的类似货物的成交价格；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（三）与该货物进口的同时或者大约同时，将该进口货物、相同或者类似进口货物在中华人民共和国境内第一级销售环节销售给无特殊关系买方最大销售总量的单位价格，但应当扣除本法第二十八条规定的项目；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按照下列各项总和计算的价格：生产该货物所使用的料件成本和加工费用，向中华人民共和国境内销售同等级或者同种类货物通常的利润和一般费用，该货物运抵中华人民共和国境内输入地点起卸前的运输及其相关费用、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（五）以合理方法估定的价格。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纳税人可以向海关提供有关资料，申请调整前款第三项和第四项的适用次序。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按照本法第二十七条第一款第三项规定估定计税价格，应当扣除下列项目：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（一）同等级或者同种类货物在中华人民共和国境内第一级销售环节销售时通常的利润和一般费用以及通常支付的佣金；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（二）进口货物运抵中华人民共和国境内输入地点起卸后的运输及其相关费用、保险费；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（三）进口关税及国内税收。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出口货物的计税价格以该货物的成交价格以及该货物运至中华人民共和国境内输出地点装载前的运输及其相关费用、保险费为基础确定。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出口货物的成交价格，是指该货物出口时卖方为出口该货物应当向买方直接收取和间接收取的价款总额。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出口关税不计入计税价格。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出口货物的成交价格不能确定的，海关经了解有关情况，并与纳税人进行价格磋商后，依次以下列价格估定该货物的计税价格：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（一）与该货物同时或者大约同时向同一国家或者地区出口的相同货物的成交价格；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（二）与该货物同时或者大约同时向同一国家或者地区出口的类似货物的成交价格；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（三）按照下列各项总和计算的价格：中华人民共和国境内生产相同或者类似货物的料件成本、加工费用，通常的利润和一般费用，境内发生的运输及其相关费用、保险费；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（四）以合理方法估定的价格。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海关可以依申请或者依职权，对进出口货物、进境物品的计税价格、商品归类和原产地依法进行确定。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必要时，海关可以组织化验、检验，并将海关认定的化验、检验结果作为确定计税价格、商品归类和原产地的依据。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税收优惠和特殊情形关税征收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下列进出口货物、进境物品，免征关税：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（一）国务院规定的免征额度内的一票货物；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（二）无商业价值的广告品和货样；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（三）进出境运输工具装载的途中必需的燃料、物料和饮食用品；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（四）在海关放行前损毁或者灭失的货物、进境物品；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（五）外国政府、国际组织无偿赠送的物资；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（六）中华人民共和国缔结或者共同参加的国际条约、协定规定免征关税的货物、进境物品；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（七）依照有关法律规定免征关税的其他货物、进境物品。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下列进出口货物、进境物品，减征关税：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（一）在海关放行前遭受损坏的货物、进境物品；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（二）中华人民共和国缔结或者共同参加的国际条约、协定规定减征关税的货物、进境物品；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（三）依照有关法律规定减征关税的其他货物、进境物品。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前款第一项减征关税，应当根据海关认定的受损程度办理。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根据维护国家利益、促进对外交往、经济社会发展、科技创新需要或者由于突发事件等原因，国务院可以制定关税专项优惠政策，报全国人民代表大会常务委员会备案。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减免税货物应当依法办理手续。需由海关监管使用的减免税货物应当接受海关监管，在监管年限内转让、移作他用或者进行其他处置，按照国家有关规定需要补税的，应当补缴关税。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对需由海关监管使用的减免税进境物品，参照前款规定执行。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保税货物复运出境的，免征关税；不复运出境转为内销的，按照规定征收关税。加工贸易保税进口料件或者其制成品内销的，除按照规定征收关税外，还应当征收缓税利息。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暂时进境或者暂时出境的下列货物、物品，可以依法暂不缴纳关税，但该货物、物品应当自进境或者出境之日起六个月内复运出境或者复运进境；需要延长复运出境或者复运进境期限的，应当根据海关总署的规定向海关办理延期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（一）在展览会、交易会、会议以及类似活动中展示或者使用的货物、物品；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（二）文化、体育交流活动中使用的表演、比赛用品；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（三）进行新闻报道或者摄制电影、电视节目使用的仪器、设备及用品；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（四）开展科研、教学、医疗卫生活动使用的仪器、设备及用品；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（五）在本款第一项至第四项所列活动中使用的交通工具及特种车辆；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（六）货样；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（七）供安装、调试、检测设备时使用的仪器、工具；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（八）盛装货物的包装材料；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（九）其他用于非商业目的的货物、物品。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前款所列货物、物品在规定期限内未复运出境或者未复运进境的，应当依法缴纳关税。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本法第三十七条规定以外的其他暂时进境的货物、物品，应当根据该货物、物品的计税价格和其在境内滞留时间与折旧时间的比例计算缴纳进口关税；该货物、物品在规定期限届满后未复运出境的，应当补足依法应缴纳的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本法第三十七条规定以外的其他暂时出境货物，在规定期限届满后未复运进境的，应当依法缴纳关税。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因品质、规格原因或者不可抗力，出口货物自出口之日起一年内原状复运进境的，不征收进口关税。因品质、规格原因或者不可抗力，进口货物自进口之日起一年内原状复运出境的，不征收出口关税。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特殊情形下，经海关批准，可以适当延长前款规定的期限，具体办法由海关总署规定。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因残损、短少、品质不良或者规格不符原因，进出口货物的发货人、承运人或者保险公司免费补偿或者更换的相同货物，进出口时不征收关税。被免费更换的原进口货物不退运出境或者原出口货物不退运进境的，海关应当对原进出口货物重新按照规定征收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纳税人应当在原进出口合同约定的请求赔偿期限内且不超过原进出口放行之日起三年内，向海关申报办理免费补偿或者更换货物的进出口手续。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征收管理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关税征收管理可以实施货物放行与税额确定相分离的模式。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关税征收管理应当适应对外贸易新业态新模式发展需要，提升信息化、智能化、标准化、便利化水平。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进出口货物的纳税人、扣缴义务人可以按照规定选择海关办理申报纳税。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纳税人、扣缴义务人应当按照规定的期限和要求如实向海关申报税额，并提供相关资料。必要时，海关可以要求纳税人、扣缴义务人补充申报。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进出口货物的纳税人、扣缴义务人应当自完成申报之日起十五日内缴纳税款；符合海关规定条件并提供担保的，可以于次月第五个工作日结束前汇总缴纳税款。因不可抗力或者国家税收政策调整，不能按期缴纳的，经向海关申请并提供担保，可以延期缴纳，但最长不得超过六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纳税人、扣缴义务人未在前款规定的纳税期限内缴纳税款的，自规定的期限届满之日起，按日加收滞纳税款万分之五的滞纳金。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税款尚未缴纳，纳税人、扣缴义务人依照有关法律、行政法规的规定申请提供担保要求放行货物的，海关应当依法办理担保手续。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进出口货物的纳税人在规定的纳税期限内有转移、藏匿其应税货物以及其他财产的明显迹象，或者存在其他可能导致无法缴纳税款风险的，海关可以责令其提供担保；纳税人不提供担保的，经直属海关关长或者其授权的隶属海关关长批准，海关可以实施下列强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（一）书面通知银行业金融机构冻结纳税人金额相当于应纳税款的存款、汇款；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（二）查封、扣押纳税人价值相当于应纳税款的货物或者其他财产。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纳税人在规定的纳税期限内缴纳税款的，海关应当立即解除强制措施。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自纳税人、扣缴义务人缴纳税款或者货物放行之日起三年内，海关有权对纳税人、扣缴义务人的应纳税额进行确认。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海关确认的应纳税额与纳税人、扣缴义务人申报的税额不一致的，海关应当向纳税人、扣缴义务人出具税额确认书。纳税人、扣缴义务人应当按照税额确认书载明的应纳税额，在海关规定的期限内补缴税款或者办理退税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经海关确认应纳税额后需要补缴税款但未在规定的期限内补缴的，自规定的期限届满之日起，按日加收滞纳税款万分之五的滞纳金。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因纳税人、扣缴义务人违反规定造成少征或者漏征税款的，海关可以自缴纳税款或者货物放行之日起三年内追征税款，并自缴纳税款或者货物放行之日起，按日加收少征或者漏征税款万分之五的滞纳金。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对走私行为，海关追征税款、滞纳金的，不受前条规定期限的限制，并有权核定应纳税额。</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海关发现海关监管货物因纳税人、扣缴义务人违反规定造成少征或者漏征税款的，应当自纳税人、扣缴义务人应缴纳税款之日起三年内追征税款，并自应缴纳税款之日起按日加收少征或者漏征税款万分之五的滞纳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海关可以对纳税人、扣缴义务人欠缴税款的情况予以公告。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纳税人未缴清税款、滞纳金且未向海关提供担保的，经直属海关关长或者其授权的隶属海关关长批准，海关可以按照规定通知移民管理机构对纳税人或者其法定代表人依法采取限制出境措施。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纳税人、扣缴义务人未按照规定的期限缴纳或者解缴税款的，由海关责令其限期缴纳；逾期仍未缴纳且无正当理由的，经直属海关关长或者其授权的隶属海关关长批准，海关可以实施下列强制执行措施：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（一）书面通知银行业金融机构划拨纳税人、扣缴义务人金额相当于应纳税款的存款、汇款；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（二）查封、扣押纳税人、扣缴义务人价值相当于应纳税款的货物或者其他财产，依法拍卖或者变卖所查封、扣押的货物或者其他财产，以拍卖或者变卖所得抵缴税款，剩余部分退还纳税人、扣缴义务人。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海关实施强制执行时，对未缴纳的滞纳金同时强制执行。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海关发现多征税款的，应当及时通知纳税人办理退还手续。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发现多缴税款的，可以自缴纳税款之日起三年内，向海关书面申请退还多缴的税款。海关应当自受理申请之日起三十日内查实并通知纳税人办理退还手续，纳税人应当自收到通知之日起三个月内办理退还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有下列情形之一的，纳税人自缴纳税款之日起一年内，可以向海关申请退还关税：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（一）已征进口关税的货物，因品质、规格原因或者不可抗力，一年内原状复运出境；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（二）已征出口关税的货物，因品质、规格原因或者不可抗力，一年内原状复运进境，并已重新缴纳因出口而退还的国内环节有关税收；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（三）已征出口关税的货物，因故未装运出口，申报退关。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申请退还关税应当以书面形式提出，并提供原缴款凭证及相关资料。海关应当自受理申请之日起三十日内查实并通知纳税人办理退还手续。纳税人应当自收到通知之日起三个月内办理退还手续。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按照其他有关法律、行政法规规定应当退还关税的，海关应当依法予以退还。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按照规定退还关税的，应当加算银行同期活期存款利息。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对规避本法第二章、第三章有关规定，不具有合理商业目的而减少应纳税额的行为，国家可以采取调整关税等反规避措施。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报关企业接受纳税人的委托，以纳税人的名义办理报关纳税手续，因报关企业违反规定造成海关少征、漏征税款的，报关企业对少征或者漏征的税款及其滞纳金与纳税人承担纳税的连带责任。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报关企业接受纳税人的委托，以报关企业的名义办理报关纳税手续的，报关企业与纳税人承担纳税的连带责任。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除不可抗力外，在保管海关监管货物期间，海关监管货物损毁或者灭失的，对海关监管货物负有保管义务的单位或者个人应当承担相应的纳税责任。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未履行纳税义务的纳税人有合并、分立情形的，在合并、分立前，应当向海关报告，依法缴清税款、滞纳金或者提供担保。纳税人合并时未缴清税款、滞纳金或者未提供担保的，由合并后的法人或者非法人组织继续履行未履行的纳税义务；纳税人分立时未缴清税款、滞纳金或者未提供担保的，分立后的法人或者非法人组织对未履行的纳税义务承担连带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在减免税货物、保税货物监管期间，有合并、分立或者其他资产重组情形的，应当向海关报告；按照规定需要缴税的，应当依法缴清税款、滞纳金或者提供担保；按照规定可以继续享受减免税、保税的，应当向海关办理变更纳税人的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纳税人未履行纳税义务或者在减免税货物、保税货物监管期间，有解散、破产或者其他依法终止经营情形的，应当在清算前向海关报告。海关应当依法清缴税款、滞纳金。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海关征收的税款优先于无担保债权，法律另有规定的除外。纳税人欠缴税款发生在纳税人以其财产设定抵押、质押之前的，税款应当先于抵押权、质权执行。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纳税人欠缴税款，同时被行政机关处以罚款、没收违法所得，其财产不足以同时支付的，应当先缴纳税款。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税款、滞纳金应当按照国家有关规定及时缴入国库。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退还税款、利息涉及从国库中退库的，按照法律、行政法规有关国库管理的规定执行。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税款、滞纳金、利息等应当以人民币计算。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进出口货物、进境物品的价格以及有关费用以人民币以外的货币计算的，按照纳税人完成申报之日的计征汇率折合为人民币计算。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前款所称计征汇率，是指按照海关总署规定确定的日期当日的人民币汇率中间价。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海关因关税征收的需要，可以依法向有关政府部门和机构查询纳税人的身份、账户、资金往来等涉及关税的信息，有关政府部门和机构应当在职责范围内予以协助和配合。海关获取的涉及关税的信息只能用于关税征收目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有下列情形之一的，由海关给予警告；情节严重的，处三万元以下的罚款：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（一）未履行纳税义务的纳税人有合并、分立情形，在合并、分立前，未向海关报告；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（二）纳税人在减免税货物、保税货物监管期间，有合并、分立或者其他资产重组情形，未向海关报告；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（三）纳税人未履行纳税义务或者在减免税货物、保税货物监管期间，有解散、破产或者其他依法终止经营情形，未在清算前向海关报告。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纳税人欠缴应纳税款，采取转移或者藏匿财产等手段，妨碍海关依法追征欠缴的税款的，除由海关追征欠缴的税款、滞纳金外，处欠缴税款百分之五十以上五倍以下的罚款。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扣缴义务人应扣未扣、应收未收税款的，由海关向纳税人追征税款，对扣缴义务人处应扣未扣、应收未收税款百分之五十以上三倍以下的罚款。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对本法第六十二条、第六十三条、第六十四条规定以外其他违反本法规定的行为，由海关依照《中华人民共和国海关法》等法律、行政法规的规定处罚。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纳税人、扣缴义务人、担保人对海关确定纳税人、商品归类、货物原产地、纳税地点、计征方式、计税价格、适用税率或者汇率，决定减征或者免征税款，确认应纳税额、补缴税款、退还税款以及加收滞纳金等征税事项有异议的，应当依法先向上一级海关申请行政复议；对行政复议决定不服的，可以依法向人民法院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当事人对海关作出的前款规定以外的行政行为不服的，可以依法申请行政复议，也可以依法向人民法院提起行政诉讼。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违反本法规定，滥用职权、玩忽职守、徇私舞弊或者泄露、非法向他人提供在履行职责中知悉的商业秘密、个人隐私、个人信息的，依法给予处分。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《中华人民共和国海南自由贸易港法》对海南自由贸易港的关税事宜另有规定的，依照其规定。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进口环节海关代征税的征收管理，适用关税征收管理的规定。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船舶吨税的征收，《中华人民共和国船舶吨税法》未作规定的，适用关税征收管理的规定。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第七十一条</w:t>
      </w:r>
      <w:r>
        <w:rPr>
          <w:rFonts w:ascii="仿宋_GB2312" w:hAnsi="仿宋_GB2312" w:eastAsia="仿宋_GB2312"/>
          <w:sz w:val="32"/>
        </w:rPr>
        <w:t>　从事免税商品零售业务应当经过批准，具体办法由国务院规定。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sz w:val="32"/>
        </w:rPr>
      </w:pPr>
      <w:r>
        <w:rPr>
          <w:rFonts w:ascii="黑体" w:hAnsi="黑体" w:eastAsia="黑体"/>
          <w:sz w:val="32"/>
        </w:rPr>
        <w:t>第七十二条</w:t>
      </w:r>
      <w:r>
        <w:rPr>
          <w:rFonts w:ascii="Times New Roman" w:hAnsi="Times New Roman" w:eastAsia="仿宋_GB2312"/>
          <w:sz w:val="32"/>
        </w:rPr>
        <w:t>　本法自2024年12月1日起施行。《中华人民共和国进出口关税条例》同时废止。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eastAsia="仿宋_GB2312"/>
          <w:sz w:val="32"/>
        </w:rPr>
      </w:pPr>
      <w:r>
        <w:rPr>
          <w:rFonts w:hint="eastAsia" w:ascii="Times New Roman" w:hAnsi="Times New Roman" w:eastAsia="仿宋_GB2312"/>
          <w:sz w:val="32"/>
        </w:rPr>
        <w:t>附：中华人民共和国进出口税则（注：《中华人民共和国进出口税则》由国务院关</w:t>
      </w:r>
      <w:bookmarkStart w:id="0" w:name="_GoBack"/>
      <w:bookmarkEnd w:id="0"/>
      <w:r>
        <w:rPr>
          <w:rFonts w:hint="eastAsia" w:ascii="Times New Roman" w:hAnsi="Times New Roman" w:eastAsia="仿宋_GB2312"/>
          <w:sz w:val="32"/>
        </w:rPr>
        <w:t>税税则委员会发布）</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DC562B"/>
    <w:rsid w:val="344634A2"/>
    <w:rsid w:val="3DE63740"/>
    <w:rsid w:val="3E6B44A2"/>
    <w:rsid w:val="481351D2"/>
    <w:rsid w:val="53543565"/>
    <w:rsid w:val="558A062C"/>
    <w:rsid w:val="622F12CF"/>
    <w:rsid w:val="653E08AD"/>
    <w:rsid w:val="71B9247E"/>
    <w:rsid w:val="7F47D4F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cp:lastModifiedBy>
  <dcterms:modified xsi:type="dcterms:W3CDTF">2024-04-26T14:39:31Z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2052-10.8.0.5715</vt:lpwstr>
  </property>
</Properties>
</file>