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name="_GoBack"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中华人民共和国刑法修正案（七）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（2009年2月28日第十一届全国人民代表大会常务委员会第七次会议通过）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一、</w:t>
      </w:r>
      <w:r>
        <w:rPr>
          <w:rFonts w:hint="eastAsia" w:ascii="Times New Roman" w:hAnsi="Times New Roman" w:cs="Arial"/>
          <w:kern w:val="0"/>
          <w:szCs w:val="32"/>
        </w:rPr>
        <w:t>将刑法第一百五十一条第三款修改为：“走私珍稀植物及其制品等国家禁止进出口的其他货物、物品的，处五年以下有期徒刑或者拘役，并处或者单处罚金；情节严重的，处五年以上有期徒刑，并处罚金。”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w:t>
      </w:r>
      <w:r>
        <w:rPr>
          <w:rFonts w:hint="eastAsia" w:ascii="Times New Roman" w:hAnsi="Times New Roman" w:cs="Arial"/>
          <w:kern w:val="0"/>
          <w:szCs w:val="32"/>
        </w:rPr>
        <w:t>将刑法第一百八十条第一款修改为：“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增加一款作为第四款：“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w:t>
      </w:r>
      <w:r>
        <w:rPr>
          <w:rFonts w:hint="eastAsia" w:ascii="Times New Roman" w:hAnsi="Times New Roman" w:cs="Arial"/>
          <w:kern w:val="0"/>
          <w:szCs w:val="32"/>
        </w:rPr>
        <w:t>将刑法第二百零一条修改为：“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“扣缴义务人采取前款所列手段，不缴或者少缴已扣、已收税款，数额较大的，依照前款的规定处罚。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“对多次实施前两款行为，未经处理的，按照累计数额计算。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第一款行为，经税务机关依法下达追缴通知后，补缴应纳税款，缴纳滞纳金，已受行政处罚的，不予追究刑事责任；但是，五年内因逃避缴纳税款受过刑事处罚或者被税务机关给予二次以上行政处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w:t>
      </w:r>
      <w:r>
        <w:rPr>
          <w:rFonts w:hint="eastAsia" w:ascii="Times New Roman" w:hAnsi="Times New Roman" w:cs="Arial"/>
          <w:kern w:val="0"/>
          <w:szCs w:val="32"/>
        </w:rPr>
        <w:t>在刑法第二百二十四条后增加一条，作为第二百二十四条之一：“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五、</w:t>
      </w:r>
      <w:r>
        <w:rPr>
          <w:rFonts w:hint="eastAsia" w:ascii="Times New Roman" w:hAnsi="Times New Roman" w:cs="Arial"/>
          <w:kern w:val="0"/>
          <w:szCs w:val="32"/>
        </w:rPr>
        <w:t>将刑法第二百二十五条第三项修改为：“未经国家有关主管部门批准非法经营证券、期货、保险业务的，或者非法从事资金支付结算业务的；”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六、</w:t>
      </w:r>
      <w:r>
        <w:rPr>
          <w:rFonts w:hint="eastAsia" w:ascii="Times New Roman" w:hAnsi="Times New Roman" w:cs="Arial"/>
          <w:kern w:val="0"/>
          <w:szCs w:val="32"/>
        </w:rPr>
        <w:t>将刑法第二百三十九条修改为：“以勒索财物为目的绑架他人的，或者绑架他人作为人质的，处十年以上有期徒刑或者无期徒刑，并处罚金或者没收财产；情节较轻的，处五年以上十年以下有期徒刑，并处罚金。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“犯前款罪，致使被绑架人死亡或者杀害被绑架人的，处死刑，并处没收财产。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“以勒索财物为目的偷盗婴幼儿的，依照前两款的规定处罚。”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七、</w:t>
      </w:r>
      <w:r>
        <w:rPr>
          <w:rFonts w:hint="eastAsia" w:ascii="Times New Roman" w:hAnsi="Times New Roman" w:cs="Arial"/>
          <w:kern w:val="0"/>
          <w:szCs w:val="32"/>
        </w:rPr>
        <w:t>在刑法第二百五十三条后增加一条，作为第二百五十三条之一：“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“窃取或者以其他方法非法获取上述信息，情节严重的，依照前款的规定处罚。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“单位犯前两款罪的，对单位判处罚金，并对其直接负责的主管人员和其他直接责任人员，依照各该款的规定处罚。”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八、</w:t>
      </w:r>
      <w:r>
        <w:rPr>
          <w:rFonts w:hint="eastAsia" w:ascii="Times New Roman" w:hAnsi="Times New Roman" w:cs="Arial"/>
          <w:kern w:val="0"/>
          <w:szCs w:val="32"/>
        </w:rPr>
        <w:t>在刑法第二百六十二条之一后增加一条，作为第二百六十二条之二：“组织未成年人进行盗窃、诈骗、抢夺、敲诈勒索等违反治安管理活动的，处三年以下有期徒刑或者拘役，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九、</w:t>
      </w:r>
      <w:r>
        <w:rPr>
          <w:rFonts w:hint="eastAsia" w:ascii="Times New Roman" w:hAnsi="Times New Roman" w:cs="Arial"/>
          <w:kern w:val="0"/>
          <w:szCs w:val="32"/>
        </w:rPr>
        <w:t>在刑法第二百八十五条中增加两款作为第二款、第三款：“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“提供专门用于侵入、非法控制计算机信息系统的程序、工具，或者明知他人实施侵入、非法控制计算机信息系统的违法犯罪行为而为其提供程序、工具，情节严重的，依照前款的规定处罚。”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w:t>
      </w:r>
      <w:r>
        <w:rPr>
          <w:rFonts w:hint="eastAsia" w:ascii="Times New Roman" w:hAnsi="Times New Roman" w:cs="Arial"/>
          <w:kern w:val="0"/>
          <w:szCs w:val="32"/>
        </w:rPr>
        <w:t>在刑法第三百一十二条中增加一款作为第二款：“单位犯前款罪的，对单位判处罚金，并对其直接负责的主管人员和其他直接责任人员，依照前款的规定处罚。”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十一、</w:t>
      </w:r>
      <w:r>
        <w:rPr>
          <w:rFonts w:hint="eastAsia" w:ascii="Times New Roman" w:hAnsi="Times New Roman" w:cs="Arial"/>
          <w:kern w:val="0"/>
          <w:szCs w:val="32"/>
        </w:rPr>
        <w:t>将刑法第三百三十七条第一款修改为：“违反有关动植物防疫、检疫的国家规定，引起重大动植物疫情的，或者有引起重大动植物疫情危险，情节严重的，处三年以下有期徒刑或者拘役，并处或者单处罚金。”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十二、</w:t>
      </w:r>
      <w:r>
        <w:rPr>
          <w:rFonts w:hint="eastAsia" w:ascii="Times New Roman" w:hAnsi="Times New Roman" w:cs="Arial"/>
          <w:kern w:val="0"/>
          <w:szCs w:val="32"/>
        </w:rPr>
        <w:t>将刑法第三百七十五条第二款修改为：“非法生产、买卖武装部队制式服装，情节严重的，处三年以下有期徒刑、拘役或者管制，并处或者单处罚金。”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增加一款作为第三款：“伪造、盗窃、买卖或者非法提供、使用武装部队车辆号牌等专用标志，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原第三款作为第四款，修改为：“单位犯第二款、第三款罪的，对单位判处罚金，并对其直接负责的主管人员和其他直接责任人员，依照各该款的规定处罚。”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十三、</w:t>
      </w:r>
      <w:r>
        <w:rPr>
          <w:rFonts w:hint="eastAsia" w:ascii="Times New Roman" w:hAnsi="Times New Roman" w:cs="Arial"/>
          <w:kern w:val="0"/>
          <w:szCs w:val="32"/>
        </w:rPr>
        <w:t>在刑法第三百八十八条后增加一条作为第三百八十八条之一：“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“离职的国家工作人员或者其近亲属以及其他与其关系密切的人，利用该离职的国家工作人员原职权或者地位形成的便利条件实施前款行为的，依照前款的规定定罪处罚。”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十四、</w:t>
      </w:r>
      <w:r>
        <w:rPr>
          <w:rFonts w:hint="eastAsia" w:ascii="Times New Roman" w:hAnsi="Times New Roman" w:cs="Arial"/>
          <w:kern w:val="0"/>
          <w:szCs w:val="32"/>
        </w:rPr>
        <w:t>将刑法第三百九十五条第一款修改为：“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十五、</w:t>
      </w:r>
      <w:r>
        <w:rPr>
          <w:rFonts w:hint="eastAsia" w:ascii="Times New Roman" w:hAnsi="Times New Roman" w:cs="Arial"/>
          <w:kern w:val="0"/>
          <w:szCs w:val="32"/>
        </w:rPr>
        <w:t>本修正案自公布之日起施行。</w:t>
      </w:r>
    </w:p>
    <w:bookmarkEnd w:id="0"/>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121C007E"/>
    <w:rsid w:val="171329C6"/>
    <w:rsid w:val="3258761C"/>
    <w:rsid w:val="36D255D4"/>
    <w:rsid w:val="3F901794"/>
    <w:rsid w:val="44BC0EEC"/>
    <w:rsid w:val="482A39F4"/>
    <w:rsid w:val="498463DD"/>
    <w:rsid w:val="56755F92"/>
    <w:rsid w:val="60160B3F"/>
    <w:rsid w:val="653A70E2"/>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11</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2018-11-27T08:58:44Z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